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Aragón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412 personas arruinadas en Aragón solicitan acogerse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Aragón se sitúa en la 5 posición del ranking de casos solicitados por comunidad autónoma con el 5,4%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Aragón son más de 412 las personas en situación de sobre endeudamiento que se han solicitado acogerse a la Ley de la Segunda Oportunidad, lo que representa el 5,4 % del total en España. De todos los casos tramitados en dicha comunidad, el 88 % los ha llevado a cabo Repara tu Deuda, despacho de abogados que inició su actividad el mismo año que entró en vigor la ley en 2015.Este balance sitúa a la comunidad de Aragón,en el quinto puesto del ranking nacional, por detrás de Cataluña (3023 solicitudes), Madrid (966), Valencia (832) y Andalucía (505).</w:t>
            </w:r>
          </w:p>
          <w:p>
            <w:pPr>
              <w:ind w:left="-284" w:right="-427"/>
              <w:jc w:val="both"/>
              <w:rPr>
                <w:rFonts/>
                <w:color w:val="262626" w:themeColor="text1" w:themeTint="D9"/>
              </w:rPr>
            </w:pPr>
            <w:r>
              <w:t>De los 7540 casos en España , Repara tu deuda ha gestionado más del 89%,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https://www.notasdeprensa.es/mas-de-412-personas-arruinadas-en-aragon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