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3023 personas arruinadas en Cataluña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Cataluña se sitúa en la 1ª posición del ranking de casos solicitados por comunidad autónoma con el 40 %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Cataluña son más de 3023, las personas en situación de sobre endeudamiento que han solicitado acogerse a la Ley de la Segunda Oportunidad, lo que representa el 40% del total en España. De todos los casos tramitados en dicha comunidad, el 83% los ha llevado a cabo Repara tu Deuda, despacho de abogados que inició su actividad el mismo año que entró en vigor la ley en 2015. Este balance sitúa a Cataluña en el primer puesto del ranking nacional. Este hecho se atribuye a que en Cataluña nacieron los primeros despachos de abogados especialistas en la Ley de la Segunda oportunidad y fueron estos los que iniciaron la promoción de la Ley.</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cancelar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https://www.notasdeprensa.es/mas-de-3023-personas-arruinadas-en-cataluna-se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