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GLOBAL RISKS comenzará a suscribir Specialty Lines desde Londres  a partir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MAPFRE Global Risks, la división de MAPFRE  especializada en proveer soluciones aseguradoras integrales para compañías multinacionales, ha anunciado que, a partir de 2015, comenzará a ofrecer desde sus oficinas de Londres “Specialty Lines”, en los sectores de aviación, energía, marítimo, construcción e ingeniería.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Global Risks lleva siete años operando en el Reino Unido, desarrollando su cartera de Grandes Clientes, con especial atención en las líneas de daños patrimoniales. Alfredo Castelo, CEO de MAPFRE Global Risks, ha presentado este jueves a clientes y corredores este nuevo enfoque durante el evento anual que celebra la compañía con el mercado de Londres.</w:t>
            </w:r>
          </w:p>
          <w:p>
            <w:pPr>
              <w:ind w:left="-284" w:right="-427"/>
              <w:jc w:val="both"/>
              <w:rPr>
                <w:rFonts/>
                <w:color w:val="262626" w:themeColor="text1" w:themeTint="D9"/>
              </w:rPr>
            </w:pPr>
            <w:r>
              <w:t>	“Para desarrollar esta nueva línea de negocio”, ha explicado Castelo, “estamos reforzando nuestro equipo local, aumentando nuestra capacidad en Londres, trabajando estrechamente con el equipo de Madrid”.</w:t>
            </w:r>
          </w:p>
          <w:p>
            <w:pPr>
              <w:ind w:left="-284" w:right="-427"/>
              <w:jc w:val="both"/>
              <w:rPr>
                <w:rFonts/>
                <w:color w:val="262626" w:themeColor="text1" w:themeTint="D9"/>
              </w:rPr>
            </w:pPr>
            <w:r>
              <w:t>	Con este nuevo paso, asimismo se amplía el apetito para líneas de daños patrimoniales a otros mercados como EEUU –sujeto a la obtención de las licencias pertinentes – Asia, Sudáfrica y Oriente Medio. Estos nuevos pasos refuerzan la visión de la compañía de convertirse en `la aseguradora global de confianza´.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https://www.notasdeprensa.es/mapfre-global-risks-comenzara-a-suscribir_1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Otros Servicios Oficinas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