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Vitoria-Gasteiz el 15/12/2014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Manuel Llaca publica su segundo libro titulado "CeroUno"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Manuel Llaca, nacido en Oviedo (Asturias) y residente en Vitoria-Gasteiz (Álava), de profesión analista funcional en Ingeniería I+D, publica, cinco años después, su segundo libro titulado "CeroUno". Ha sido editado en castellano por Lulu en Estados Unidos, y distribuido por dos de los grandes vendedores de libros del mundo: Amazon y Barnes & Noble. 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Manuel Llaca, nacido en Oviedo (Asturias) y residente desde hace diez años en Vitoria-Gasteiz (Álava), de profesión analista funcional en Ingeniería I+D, publica su segundo libro titulado "CeroUno", cinco años después del primero. Ha sido editado en castellano por Lulu en Estados Unidos, y distribuido por dos de los grandes vendedores de libros del mundo: Amazon y Barnes  and  Noble. El libro se ha editado con dos ISBN diferentes, uno para la versión en papel y otro para la versión electrónica en PDF.</w:t></w:r></w:p><w:p><w:pPr><w:ind w:left="-284" w:right="-427"/>	<w:jc w:val="both"/><w:rPr><w:rFonts/><w:color w:val="262626" w:themeColor="text1" w:themeTint="D9"/></w:rPr></w:pPr><w:r><w:t>	La web oficial del libro es: http://www.cerouno.info</w:t></w:r></w:p><w:p><w:pPr><w:ind w:left="-284" w:right="-427"/>	<w:jc w:val="both"/><w:rPr><w:rFonts/><w:color w:val="262626" w:themeColor="text1" w:themeTint="D9"/></w:rPr></w:pPr><w:r><w:t>	La obra trata de mostrar, a modo de ensayo, una visión distinta del mundo tecnológico que nos rodea, visión recogida a lo largo de veintiocho años de relación con la tecnología. Realmente toca temas muy sensibles que forman parte de la vida diaria de las personas desde hace algunas décadas.</w:t></w:r></w:p><w:p><w:pPr><w:ind w:left="-284" w:right="-427"/>	<w:jc w:val="both"/><w:rPr><w:rFonts/><w:color w:val="262626" w:themeColor="text1" w:themeTint="D9"/></w:rPr></w:pPr><w:r><w:t>	Manuel Llaca publicó su primer libro titulado "Sueños de Sílice" en el año 2009, siendo distribuido en España, México, Colombia, Venezuela, y Perú.</w:t></w:r></w:p><w:p><w:pPr><w:ind w:left="-284" w:right="-427"/>	<w:jc w:val="both"/><w:rPr><w:rFonts/><w:color w:val="262626" w:themeColor="text1" w:themeTint="D9"/></w:rPr></w:pPr><w:r><w:t>	Actualmente, además de su labor profesional, Manuel Llaca es el fundador de QuicklyDown (www.quicklydown.com), web de descarga de software entre otros proyectos en Internet, así como el creador y desarrollador de la librería de programación Birtus (www.birtus.net).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Manuel Llaca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http://www.cerouno.info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653143749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https://www.notasdeprensa.es/manuel-llaca-publica-su-segundo-libro-titulado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Literatura Otros Servicios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