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Madrileños y barceloneses tiran del mercado de la segunda vivienda en España, según Vitrio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Sevillanos, vizcaínos, valencianos y zaragozanos también invierten en este segmento inmobiliario a nivel intrarregional o en provincias de comunidades limítrofes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la segunda vivienda tiene un importante peso en el mercado inmobiliario español. De hecho, este segmento concentra más de un 20% de las compraventas de viviendas que se efectúan en nuestro país.</w:t>
            </w:r>
          </w:p>
          <w:p>
            <w:pPr>
              <w:ind w:left="-284" w:right="-427"/>
              <w:jc w:val="both"/>
              <w:rPr>
                <w:rFonts/>
                <w:color w:val="262626" w:themeColor="text1" w:themeTint="D9"/>
              </w:rPr>
            </w:pPr>
            <w:r>
              <w:t>Las viviendas vacacionales han experimentado un importante crecimiento animado por el auge del alquiler turístico. En cifras, el año pasado había en España más de 470.000 pisos de alquiler para corta duración, un 30% más que en 2016.</w:t>
            </w:r>
          </w:p>
          <w:p>
            <w:pPr>
              <w:ind w:left="-284" w:right="-427"/>
              <w:jc w:val="both"/>
              <w:rPr>
                <w:rFonts/>
                <w:color w:val="262626" w:themeColor="text1" w:themeTint="D9"/>
              </w:rPr>
            </w:pPr>
            <w:r>
              <w:t>Aunque hay provincias como Alicante y Tenerife, donde los compradores extranjeros ejecutan casi la mitad de las compraventas de segunda vivienda, los españoles protagonizan la mayor parte de las operaciones en el resto del territorio nacional.</w:t>
            </w:r>
          </w:p>
          <w:p>
            <w:pPr>
              <w:ind w:left="-284" w:right="-427"/>
              <w:jc w:val="both"/>
              <w:rPr>
                <w:rFonts/>
                <w:color w:val="262626" w:themeColor="text1" w:themeTint="D9"/>
              </w:rPr>
            </w:pPr>
            <w:r>
              <w:t>Tomando como partida este contexto, el portal inmobiliario Vitrio ha analizado las peculiaridades y los patrones comunes de los compradores nacionales en el mercado inmobiliario de la segunda vivienda:</w:t>
            </w:r>
          </w:p>
          <w:p>
            <w:pPr>
              <w:ind w:left="-284" w:right="-427"/>
              <w:jc w:val="both"/>
              <w:rPr>
                <w:rFonts/>
                <w:color w:val="262626" w:themeColor="text1" w:themeTint="D9"/>
              </w:rPr>
            </w:pPr>
            <w:r>
              <w:t>Los madrileños, principales compradores de segunda vivienda en EspañaLos residentes de Madrid ocupan un protagonismo superlativo en la adquisición de este tipo de inmuebles con más de un tercio de las compraventas efectuadas (34%). En cuanto a sus preferencias a la hora de invertir en este tipo de inmuebles, los dos destinos más demandados son Alicante y Toledo, que concentran más del 20% de las compras. Mientras que la primera provincia se mantiene como enclave predilecto para los madrileños que buscan las ventajas del turismo de sol y playa, desde Vitrio destacan que la provincia de Toledo supone para muchos de ellos un destino de retiro tranquilo, bien conectado con la capital y cuyos precios inmobiliarios distan bastante de los de Madrid: en la provincia madrileña, los precios de compra rondan los 2.497 euros el metro cuadrado; en Toledo, se sitúan en torno a los 810 euros de media.</w:t>
            </w:r>
          </w:p>
          <w:p>
            <w:pPr>
              <w:ind w:left="-284" w:right="-427"/>
              <w:jc w:val="both"/>
              <w:rPr>
                <w:rFonts/>
                <w:color w:val="262626" w:themeColor="text1" w:themeTint="D9"/>
              </w:rPr>
            </w:pPr>
            <w:r>
              <w:t>Invertir dentro de Cataluña, la principal tendencia de los barcelonesesAdemás de por el volumen de las transacciones, que sumado con el de Madrid supone más de la mitad del total nacional, la provincia de Barcelona destaca porque la mayoría de las inversiones realizadas por sus residentes se efectúan en territorio catalán. Las provincias de Tarragona y Girona son las preferidas por los barceloneses para comprar su segunda vivienda debido a que son enclaves costeros y a que tienen buenas conexiones con la Ciudad Condal. En concreto, ambas provincias concentran más del 36% de las compraventas efectuadas por los residentes en Barcelona.</w:t>
            </w:r>
          </w:p>
          <w:p>
            <w:pPr>
              <w:ind w:left="-284" w:right="-427"/>
              <w:jc w:val="both"/>
              <w:rPr>
                <w:rFonts/>
                <w:color w:val="262626" w:themeColor="text1" w:themeTint="D9"/>
              </w:rPr>
            </w:pPr>
            <w:r>
              <w:t>Sevillanos, valencianos, vizcaínos y zaragozanos también se unen al “club de compradores de segunda residencia”En estos casos, la demanda es fundamentalmente intrarregional o se dirige a las provincias de comunidades limítrofes: los sevillanos prefieren comprar su segunda vivienda en las provincias de Cádiz y Huelva, destacando municipios como Matalascañas y Chipiona, entre otros; los valencianos realizan más de la mitad de las compraventas (54%) en Alicante y Castellón; los vizcaínos ejecutan casi 1 de cada 3 operaciones (31%) en Cantabria; y 1 de cada 4 zaragozanos prefiere Huesca, debido al importante peso en la provincia del turismo de esquí y montaña, según los expertos de Vitrio.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https://www.notasdeprensa.es/madrilenos-y-barceloneses-tiran-del-mercado-de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