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02/12/2016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deudas con Hacienda y con la Seguridad Social también pueden ser objeto de exoneración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la empresa especializada 2CHANCE, la interpretación y aplicación judicial de la Ley de Segunda Oportunidad de 2015 es partidaria de que se incluyan también las deudas con Hacienda y Seguridad Social en la resolución judicial por la que se acuerde la exoneración o extinción de las deudas. Es un paso más en favor de una verdadera Segunda Oportunidad en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redacción de la Ley de Segunda Oportunidad es un tanto ambigua acerca de si las deudas con Hacienda y la Seguridad Social, en general, el crédito público, queda dentro o fuera de la exoneración.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2CHANCE ya daban cuenta en una entrada anterior de que los Jueces de Barcelona competentes para su aplicación interpretaban la ley en un sentido favorable a la exoneración. Dentro de los acuerdos interpretativos de la norma se hacía referencia a que el crédito público podía ser objeto de exoneración.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Audiencia Provincial de Baleares en sentencia de fecha 21 de septiembre de 2016 confirma el criterio del Juez Mercantil de Palma de Mallorca y ratifica los criterios antes apuntados, al entender que, sea cual sea el tipo de exoneración, debe también comprenderse el crédito público. La sentencia indica lo siguiente: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"Procede señalar que la norma establece dos sistemas de exoneración. La exoneración definitiva si el deudor de buena fe cumple los requisitos del artículo 178 bis 4º de la LC . Y la exoneración provisional si no los cumple pero se somete a un plan de pagos.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que cumplen el primer sistema, está prevista la exoneración todo el pasivo (también el público) y de forma definitiva. Aunque es cierto que puede revocarse si durante los cinco años siguientes consta la existencia de ingresos, bienes o derechos del deudor ocultados (ex art 176 bis 7LC 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sistema, está pensado para los que tienen mayor capacidad de pago porque han podido pagar parte o todo de los créditos que se mencionan en el punto 4º.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Resultaría ilógico que a los que tienen menos capacidad de pago, los del apartado 5º, (que tienen que someterse a un Plan de Pagos) dicho plan excluya el crédito público si se dan las condiciones de su normativa para los aplazamientos y en su caso, no se les exonere el crédito público en las condiciones legalmente previstas. A Los deudores incardinables en el párrafo 4 -los que no necesitan el plan de pagos- si se les exonera de parte del crédito público".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página web de 2CHANCE se recoge esta información mediante una entrada efectuada en fecha 22 de noviembre de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2CHANCE se trata de un pequeño gran paso hacia un verdadero sistema de Segunda Oportunidad.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2CHANCE informarán sobre el sistema de Segunda Oportunidad y seguirán asesorando y gestionando la segunda oportunidad y la exoneración de las deudas impagadas de todos los que lo necesiten.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www.2chance.es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607839856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https://www.notasdeprensa.es/las-deudas-con-hacienda-y-con-la-seguridad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Baleares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