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18/12/2014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Facturación Electrónica -obligatoria el 15/01/2015- ¿Estamos preparados?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15 de enero entra en vigor la obligación de emitir facturas electrónicas para los proveedores de la Administración pública (AP), así como para aquellas empresas que prestan servicios "de especial trascendencia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próximo 15 de Enero si o si nos encontraremos con la obligatoriedad de mandar las facturas en formato electrónico a las diferentes administraciones públicas, paso imprescindible si queremos cobrar nuestros servicios o suministros. Hemos leído que hasta hace pocos días solo habían entrado 300 facturas por el punto único de entrada, ello no implica que vaya a haber un aplazamiento, lo que implica es que nos tenemos que adaptar rápidamente.</w:t>
            </w:r>
          </w:p>
          <w:p>
            <w:pPr>
              <w:ind w:left="-284" w:right="-427"/>
              <w:jc w:val="both"/>
              <w:rPr>
                <w:rFonts/>
                <w:color w:val="262626" w:themeColor="text1" w:themeTint="D9"/>
              </w:rPr>
            </w:pPr>
            <w:r>
              <w:t>	La situación a día de hoy de la Facturación Electrónica como parte integrante de la Contratación Electrónica de "principio a fin", nos sirve también como ejemplo para prepararnos para la implantación global de la Contratación Electrónica y no dejarlo para el final del plazo de obligatoriedad.</w:t>
            </w:r>
          </w:p>
          <w:p>
            <w:pPr>
              <w:ind w:left="-284" w:right="-427"/>
              <w:jc w:val="both"/>
              <w:rPr>
                <w:rFonts/>
                <w:color w:val="262626" w:themeColor="text1" w:themeTint="D9"/>
              </w:rPr>
            </w:pPr>
            <w:r>
              <w:t>	Hace ya meses la AGE publica en: http://administracionelectronica.gob.es/ctt/face#.VEkFIM4cSP9</w:t>
            </w:r>
          </w:p>
          <w:p>
            <w:pPr>
              <w:ind w:left="-284" w:right="-427"/>
              <w:jc w:val="both"/>
              <w:rPr>
                <w:rFonts/>
                <w:color w:val="262626" w:themeColor="text1" w:themeTint="D9"/>
              </w:rPr>
            </w:pPr>
            <w:r>
              <w:t>	…que</w:t>
            </w:r>
          </w:p>
          <w:p>
            <w:pPr>
              <w:ind w:left="-284" w:right="-427"/>
              <w:jc w:val="both"/>
              <w:rPr>
                <w:rFonts/>
                <w:color w:val="262626" w:themeColor="text1" w:themeTint="D9"/>
              </w:rPr>
            </w:pPr>
            <w:r>
              <w:t>	FACE es el Punto General de Entrada de Facturas de la Administración General del Estado. Permite la remisión de facturas en formato electrónico a aquellos organismos de las administraciones que acepten la recepción de facturas en formato electrónico y que estén previamente dados de alta en el sistema.</w:t>
            </w:r>
          </w:p>
          <w:p>
            <w:pPr>
              <w:ind w:left="-284" w:right="-427"/>
              <w:jc w:val="both"/>
              <w:rPr>
                <w:rFonts/>
                <w:color w:val="262626" w:themeColor="text1" w:themeTint="D9"/>
              </w:rPr>
            </w:pPr>
            <w:r>
              <w:t>	…y</w:t>
            </w:r>
          </w:p>
          <w:p>
            <w:pPr>
              <w:ind w:left="-284" w:right="-427"/>
              <w:jc w:val="both"/>
              <w:rPr>
                <w:rFonts/>
                <w:color w:val="262626" w:themeColor="text1" w:themeTint="D9"/>
              </w:rPr>
            </w:pPr>
            <w:r>
              <w:t>	La plataforma FACE permite a proveedores la remisión de las facturas a aquellos órganos de la AGE que tienen la posibilidad de recibir facturas electrónicas. El sistema remite la factura electrónica al órgano destinatario, simplificando a los proveedores el envío de las mismas, al centralizar en un único punto todos los organismos de la AGE y al unificar el formato de factura electrónica.</w:t>
            </w:r>
          </w:p>
          <w:p>
            <w:pPr>
              <w:ind w:left="-284" w:right="-427"/>
              <w:jc w:val="both"/>
              <w:rPr>
                <w:rFonts/>
                <w:color w:val="262626" w:themeColor="text1" w:themeTint="D9"/>
              </w:rPr>
            </w:pPr>
            <w:r>
              <w:t>	El sistema proporciona a los proveedores:</w:t>
            </w:r>
          </w:p>
          <w:p>
            <w:pPr>
              <w:ind w:left="-284" w:right="-427"/>
              <w:jc w:val="both"/>
              <w:rPr>
                <w:rFonts/>
                <w:color w:val="262626" w:themeColor="text1" w:themeTint="D9"/>
              </w:rPr>
            </w:pPr>
            <w:r>
              <w:t>		un portal web donde pueden presentar sus facturas electrónicas en formato facturae 3.2. face.gob.es </w:t>
            </w:r>
          </w:p>
          <w:p>
            <w:pPr>
              <w:ind w:left="-284" w:right="-427"/>
              <w:jc w:val="both"/>
              <w:rPr>
                <w:rFonts/>
                <w:color w:val="262626" w:themeColor="text1" w:themeTint="D9"/>
              </w:rPr>
            </w:pPr>
            <w:r>
              <w:t>		una interfaz de web services para el envío automático de las facturas desde sus sistemas de gestión económica.</w:t>
            </w:r>
          </w:p>
          <w:p>
            <w:pPr>
              <w:ind w:left="-284" w:right="-427"/>
              <w:jc w:val="both"/>
              <w:rPr>
                <w:rFonts/>
                <w:color w:val="262626" w:themeColor="text1" w:themeTint="D9"/>
              </w:rPr>
            </w:pPr>
            <w:r>
              <w:t>	Y a las administraciones públicas:</w:t>
            </w:r>
          </w:p>
          <w:p>
            <w:pPr>
              <w:ind w:left="-284" w:right="-427"/>
              <w:jc w:val="both"/>
              <w:rPr>
                <w:rFonts/>
                <w:color w:val="262626" w:themeColor="text1" w:themeTint="D9"/>
              </w:rPr>
            </w:pPr>
            <w:r>
              <w:t>		un portal de gestión accesible a través del Portal de Entidades Locales  , del Portal de Comunidades Autónomas  y del Porta para la Gestión Administrativa, donde los destinatarios pueden gestionar las facturas recibidas, descargarlas y notificar el estado de tramitación de las mismas al proveedor.</w:t>
            </w:r>
          </w:p>
          <w:p>
            <w:pPr>
              <w:ind w:left="-284" w:right="-427"/>
              <w:jc w:val="both"/>
              <w:rPr>
                <w:rFonts/>
                <w:color w:val="262626" w:themeColor="text1" w:themeTint="D9"/>
              </w:rPr>
            </w:pPr>
            <w:r>
              <w:t>		interfaces de "web services" que permiten la recepción automática de las facturas en sus sistemas de gestión económica.</w:t>
            </w:r>
          </w:p>
          <w:p>
            <w:pPr>
              <w:ind w:left="-284" w:right="-427"/>
              <w:jc w:val="both"/>
              <w:rPr>
                <w:rFonts/>
                <w:color w:val="262626" w:themeColor="text1" w:themeTint="D9"/>
              </w:rPr>
            </w:pPr>
            <w:r>
              <w:t>	Las empresas que no dispongan ya de la posibilidad de generar facturas en formato facturae 3.2 y quieran trabajar con las Administraciones Públicas disponen de un muy corto periodo de tiempo para adaptar sus sistemas para cumplir con esta funcionalidad.</w:t>
            </w:r>
          </w:p>
          <w:p>
            <w:pPr>
              <w:ind w:left="-284" w:right="-427"/>
              <w:jc w:val="both"/>
              <w:rPr>
                <w:rFonts/>
                <w:color w:val="262626" w:themeColor="text1" w:themeTint="D9"/>
              </w:rPr>
            </w:pPr>
            <w:r>
              <w:t>	Aunque parezca sorprendente empezar por hacer obligatoria la última parte de la Contratación Electrónica de "principio a fin", tiene sentido si consideramos que se espera que con esta obligatoriedad se consigan dos importantes objetivos: Ahorro significativo de costes de proceso de las facturas y Mejora del plazo de pago de las mismas.</w:t>
            </w:r>
          </w:p>
          <w:p>
            <w:pPr>
              <w:ind w:left="-284" w:right="-427"/>
              <w:jc w:val="both"/>
              <w:rPr>
                <w:rFonts/>
                <w:color w:val="262626" w:themeColor="text1" w:themeTint="D9"/>
              </w:rPr>
            </w:pPr>
            <w:r>
              <w:t>	La Contratación Electrónica de "principio a fin", que emana de las Directivas Europeas va muy en serio y todos los entes implicados en alguna parte del proceso, si no lo han hecho ya, deben implicarse y prepararse para su implantación.</w:t>
            </w:r>
          </w:p>
          <w:p>
            <w:pPr>
              <w:ind w:left="-284" w:right="-427"/>
              <w:jc w:val="both"/>
              <w:rPr>
                <w:rFonts/>
                <w:color w:val="262626" w:themeColor="text1" w:themeTint="D9"/>
              </w:rPr>
            </w:pPr>
            <w:r>
              <w:t>	Este artículo forma parte de una serie de 8 capítulos sobre la Contratación Pública Electrónica. Puede consultar los artículos anteriores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Martí Cid</w:t>
      </w:r>
    </w:p>
    <w:p w:rsidR="00C31F72" w:rsidRDefault="00C31F72" w:rsidP="00AB63FE">
      <w:pPr>
        <w:pStyle w:val="Sinespaciado"/>
        <w:spacing w:line="276" w:lineRule="auto"/>
        <w:ind w:left="-284"/>
        <w:rPr>
          <w:rFonts w:ascii="Arial" w:hAnsi="Arial" w:cs="Arial"/>
        </w:rPr>
      </w:pPr>
      <w:r>
        <w:rPr>
          <w:rFonts w:ascii="Arial" w:hAnsi="Arial" w:cs="Arial"/>
        </w:rPr>
        <w:t>Director Comercial de Área</w:t>
      </w:r>
    </w:p>
    <w:p w:rsidR="00AB63FE" w:rsidRDefault="00C31F72" w:rsidP="00AB63FE">
      <w:pPr>
        <w:pStyle w:val="Sinespaciado"/>
        <w:spacing w:line="276" w:lineRule="auto"/>
        <w:ind w:left="-284"/>
        <w:rPr>
          <w:rFonts w:ascii="Arial" w:hAnsi="Arial" w:cs="Arial"/>
        </w:rPr>
      </w:pPr>
      <w:r>
        <w:rPr>
          <w:rFonts w:ascii="Arial" w:hAnsi="Arial" w:cs="Arial"/>
        </w:rPr>
        <w:t>900 351 192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https://www.notasdeprensa.es/la-facturacion-electronica-obligatoria-el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