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enseñanza del futuro se impartirá en la nube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Euroinnova apuesta por el valor formativo que internet y las tecnologías de la información pueden tener en la práctica educativa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idoneidad de que el sistema educativo discurra en paralelo a los avances tecnológicos deviene un tema fundamental para el momento presente, pero también para el largo plazo. La construcción de una sociedad más eficiente e igualitaria requiere de una base de población capaz de hacer frente a complejos retos.</w:t>
            </w:r>
          </w:p>
          <w:p>
            <w:pPr>
              <w:ind w:left="-284" w:right="-427"/>
              <w:jc w:val="both"/>
              <w:rPr>
                <w:rFonts/>
                <w:color w:val="262626" w:themeColor="text1" w:themeTint="D9"/>
              </w:rPr>
            </w:pPr>
            <w:r>
              <w:t>Por un lado, la infinidad de recursos que ofrece internet se traduce en una educación más interactiva y dinámica, donde los niños pueden ejercer un papel protagónico de su propia enseñanza, lo que se traduce en mayores niveles de implicación y participación.</w:t>
            </w:r>
          </w:p>
          <w:p>
            <w:pPr>
              <w:ind w:left="-284" w:right="-427"/>
              <w:jc w:val="both"/>
              <w:rPr>
                <w:rFonts/>
                <w:color w:val="262626" w:themeColor="text1" w:themeTint="D9"/>
              </w:rPr>
            </w:pPr>
            <w:r>
              <w:t>Por otro lado, el principal motor económico de una sociedad futura será eminentemente tecnológico, por lo que conviene instruir a niños y adolescentes en clave digital. Esta forma, propicia una habituación por parte de las futuras generaciones de trabajadores y se elimina un posible desajuste entre oferta y demanda laboral.</w:t>
            </w:r>
          </w:p>
          <w:p>
            <w:pPr>
              <w:ind w:left="-284" w:right="-427"/>
              <w:jc w:val="both"/>
              <w:rPr>
                <w:rFonts/>
                <w:color w:val="262626" w:themeColor="text1" w:themeTint="D9"/>
              </w:rPr>
            </w:pPr>
            <w:r>
              <w:t>Otro de los motivos por los que la enseñanza virtual comienza a consolidarse en varios países referentes en el sector de la educación, como por ejemplo Finlandia, se relaciona con cuestiones medio ambientales y de ahorro de recursos.</w:t>
            </w:r>
          </w:p>
          <w:p>
            <w:pPr>
              <w:ind w:left="-284" w:right="-427"/>
              <w:jc w:val="both"/>
              <w:rPr>
                <w:rFonts/>
                <w:color w:val="262626" w:themeColor="text1" w:themeTint="D9"/>
              </w:rPr>
            </w:pPr>
            <w:r>
              <w:t>No obstante, debido a la celeridad con la que se producen las transformaciones, se pueden presentar diferentes escenarios de desigualdad originada por los diferentes ritmos de adopción de la tecnología. Un ejemplo de ello es el fenómeno denominado como brecha digital y que es una de las principales consecuencias a tener en cuenta.</w:t>
            </w:r>
          </w:p>
          <w:p>
            <w:pPr>
              <w:ind w:left="-284" w:right="-427"/>
              <w:jc w:val="both"/>
              <w:rPr>
                <w:rFonts/>
                <w:color w:val="262626" w:themeColor="text1" w:themeTint="D9"/>
              </w:rPr>
            </w:pPr>
            <w:r>
              <w:t>Euroinnova Business School es una de las empresas de formación que más peso le ha estado otorgado a este importante fenómeno durante los últimos años. Esta empresa ha conseguido elaborar una Enseñanza Virtual generadora de valor y con los mismos estándares de calidad que los establecidos en la formación tradicional.</w:t>
            </w:r>
          </w:p>
          <w:p>
            <w:pPr>
              <w:ind w:left="-284" w:right="-427"/>
              <w:jc w:val="both"/>
              <w:rPr>
                <w:rFonts/>
                <w:color w:val="262626" w:themeColor="text1" w:themeTint="D9"/>
              </w:rPr>
            </w:pPr>
            <w:r>
              <w:t>No hay que olvidar, que este tipo de enseñanza también comporta un importante ahorro económico y medioambiental, pues se evitan los gastos en desplazamiento y transporte, así como en material didáctico.</w:t>
            </w:r>
          </w:p>
          <w:p>
            <w:pPr>
              <w:ind w:left="-284" w:right="-427"/>
              <w:jc w:val="both"/>
              <w:rPr>
                <w:rFonts/>
                <w:color w:val="262626" w:themeColor="text1" w:themeTint="D9"/>
              </w:rPr>
            </w:pPr>
            <w:r>
              <w:t>Euroinnova dispone una amplia gama de Cursos Online distribuidos entre los diferentes sectores productivos y con una variedad de temáticas de plena actualidad y demanda.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https://www.notasdeprensa.es/la-ensenanza-del-futuro-se-impartira-en-la-nube_1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