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Spain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contribución de las familias reales europeas, según Casino777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real británica es 18 veces más rentable que la belga y 29 veces más que la monarquía española según muestran los estudios más recientes.
La realeza británica realizó un ingreso aproximado de £595 millones a través del turismo, las mercancías y las artes en 2018. Ese mismo año, su mantenimiento costó a la economía £165 millones. Se considera que durante los últimos cinco años, la realeza británica ha contribuido al ingreso de aproximadamente £2,8 miles de millones a la economía del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real británica es 18 veces más rentable que la belga y 29 veces más que la monarquía española según muestran los estudios más recientes.</w:t>
            </w:r>
          </w:p>
          <w:p>
            <w:pPr>
              <w:ind w:left="-284" w:right="-427"/>
              <w:jc w:val="both"/>
              <w:rPr>
                <w:rFonts/>
                <w:color w:val="262626" w:themeColor="text1" w:themeTint="D9"/>
              </w:rPr>
            </w:pPr>
            <w:r>
              <w:t>La realeza británica realizó un ingreso aproximado de £595 millones a través del turismo, las mercancías y las artes en 2018. Ese mismo año, su mantenimiento costó a la economía £165 millones. Se considera que durante los últimos cinco años, la realeza británica ha contribuido al ingreso de aproximadamente £2,8 miles de millones a la economía del Reino Unido.</w:t>
            </w:r>
          </w:p>
          <w:p>
            <w:pPr>
              <w:ind w:left="-284" w:right="-427"/>
              <w:jc w:val="both"/>
              <w:rPr>
                <w:rFonts/>
                <w:color w:val="262626" w:themeColor="text1" w:themeTint="D9"/>
              </w:rPr>
            </w:pPr>
            <w:r>
              <w:t>El estudio, que se ha realizado utilizando una amplia variedad de fuentes que incluyen informes financieros oficiales reales, la Oficina de Estadísticas Nacionales y la República, se recopila en una nueva página web que los compara con las equivalentes belgas y españolas.</w:t>
            </w:r>
          </w:p>
          <w:p>
            <w:pPr>
              <w:ind w:left="-284" w:right="-427"/>
              <w:jc w:val="both"/>
              <w:rPr>
                <w:rFonts/>
                <w:color w:val="262626" w:themeColor="text1" w:themeTint="D9"/>
              </w:rPr>
            </w:pPr>
            <w:r>
              <w:t>El factor más importante es el dinero sobrante del Crown Estate, que pagó £329 millones a la hacienda en el 2018. Con una propiedad valorada en aproximadamente £12 mil millones, es uno de los mayores propietarios de tierras del Reino Unido.</w:t>
            </w:r>
          </w:p>
          <w:p>
            <w:pPr>
              <w:ind w:left="-284" w:right="-427"/>
              <w:jc w:val="both"/>
              <w:rPr>
                <w:rFonts/>
                <w:color w:val="262626" w:themeColor="text1" w:themeTint="D9"/>
              </w:rPr>
            </w:pPr>
            <w:r>
              <w:t>Las entradas a atracciones clave relacionadas con la monarquía, como las visitas al Palacio de Buckingham y la Galería de la Reina, generaron £41 millones el año pasado, cifra similar a la generada en Bélgica, con otras £18 millones provenientes de la venta de productos de temática real.</w:t>
            </w:r>
          </w:p>
          <w:p>
            <w:pPr>
              <w:ind w:left="-284" w:right="-427"/>
              <w:jc w:val="both"/>
              <w:rPr>
                <w:rFonts/>
                <w:color w:val="262626" w:themeColor="text1" w:themeTint="D9"/>
              </w:rPr>
            </w:pPr>
            <w:r>
              <w:t>A pesar de que a menudo se menciona el turismo como beneficio clave de la familia real, la cantidad que produce es en realidad superada por el dinero generado por las ventas de los medios de comunicación. Algunos programas televisivos populares como The Crown, de Netflix, Victoria, de ITV, documentales y la cobertura internacional de eventos reales generó a la economía del Reino Unido 51 millones de libras en del 2018.</w:t>
            </w:r>
          </w:p>
          <w:p>
            <w:pPr>
              <w:ind w:left="-284" w:right="-427"/>
              <w:jc w:val="both"/>
              <w:rPr>
                <w:rFonts/>
                <w:color w:val="262626" w:themeColor="text1" w:themeTint="D9"/>
              </w:rPr>
            </w:pPr>
            <w:r>
              <w:t>La monarquía española sufrió su cuarto recorte consecutivo en el año 2014, convirtiéndola en una de las monarquías más austeras de Europa. La transparencia en la materia ha ido mejorando poco a poco durante los últimos años y hoy en día es relativamente sencillo acceder a muchos de los presupuestos que se dedican a la familia real. Sin embargo, el patrimonio de Juan Carlos I sigue siendo secreto.</w:t>
            </w:r>
          </w:p>
          <w:p>
            <w:pPr>
              <w:ind w:left="-284" w:right="-427"/>
              <w:jc w:val="both"/>
              <w:rPr>
                <w:rFonts/>
                <w:color w:val="262626" w:themeColor="text1" w:themeTint="D9"/>
              </w:rPr>
            </w:pPr>
            <w:r>
              <w:t>Casa la mitad del presupuesto dedicado a la realeza española se dedica a gastos de personal, mientras que un 39 % va dirigido a gastos corrientes que se centran principalmente en bienes y servicios.</w:t>
            </w:r>
          </w:p>
          <w:p>
            <w:pPr>
              <w:ind w:left="-284" w:right="-427"/>
              <w:jc w:val="both"/>
              <w:rPr>
                <w:rFonts/>
                <w:color w:val="262626" w:themeColor="text1" w:themeTint="D9"/>
              </w:rPr>
            </w:pPr>
            <w:r>
              <w:t>El 8,62 % de los presupuestos se dirige a los miembros de la familia real y los familiares mientras que el 6 % son inversiones reales y para finalizar el 1,43 % se utilizan para fondos de contingencia. Todos los datos con la información se pueden encontrar.</w:t>
            </w:r>
          </w:p>
          <w:p>
            <w:pPr>
              <w:ind w:left="-284" w:right="-427"/>
              <w:jc w:val="both"/>
              <w:rPr>
                <w:rFonts/>
                <w:color w:val="262626" w:themeColor="text1" w:themeTint="D9"/>
              </w:rPr>
            </w:pPr>
            <w:r>
              <w:t>La forma de financiación es muy similar para las tres monarquías. Los gastos de la familia real española están siempre financiados mediante una subvención de aproximadamente 7 millones de libras. Por el otro lado, la mayor aportación por parte de los monarcas españoles es le turismo.</w:t>
            </w:r>
          </w:p>
          <w:p>
            <w:pPr>
              <w:ind w:left="-284" w:right="-427"/>
              <w:jc w:val="both"/>
              <w:rPr>
                <w:rFonts/>
                <w:color w:val="262626" w:themeColor="text1" w:themeTint="D9"/>
              </w:rPr>
            </w:pPr>
            <w:r>
              <w:t>Las visitas a los palacios y residencias oficiales reales generan unos ingresos aproximados de más de 22 millones al año. Así, el impacto financiero global a la economía española durante los últimos 5 años ha sido de unos de 85 millones de euros, cifra cercana a la belga, con contribución de uno 133 millones y lejos de la británica, con un impacto financiero de más de 2 mil millones de euros en los últimos 5 años.</w:t>
            </w:r>
          </w:p>
          <w:p>
            <w:pPr>
              <w:ind w:left="-284" w:right="-427"/>
              <w:jc w:val="both"/>
              <w:rPr>
                <w:rFonts/>
                <w:color w:val="262626" w:themeColor="text1" w:themeTint="D9"/>
              </w:rPr>
            </w:pPr>
            <w:r>
              <w:t>El dinero restante de los ducados se ha contabilizado como un coste, ya que va directamente a los miembros de la familia real para financiar los deberes oficiales y los gastos personales, en lugar de a hacienda.</w:t>
            </w:r>
          </w:p>
          <w:p>
            <w:pPr>
              <w:ind w:left="-284" w:right="-427"/>
              <w:jc w:val="both"/>
              <w:rPr>
                <w:rFonts/>
                <w:color w:val="262626" w:themeColor="text1" w:themeTint="D9"/>
              </w:rPr>
            </w:pPr>
            <w:r>
              <w:t>Para comparar los costes, las contribuciones y el valor general de las familias reales británicas, belgas y españolas, toda la información está aquí.</w:t>
            </w:r>
          </w:p>
          <w:p>
            <w:pPr>
              <w:ind w:left="-284" w:right="-427"/>
              <w:jc w:val="both"/>
              <w:rPr>
                <w:rFonts/>
                <w:color w:val="262626" w:themeColor="text1" w:themeTint="D9"/>
              </w:rPr>
            </w:pPr>
            <w:r>
              <w:t>Notas de editoresDatos derivados de distintas fuentes oficiales, incluidos los informes anuales de la familia real británica, la Oficina de Estadísticas Nacionales, el Royal Collection Trust y la República. La Información de las finanzas de las familias reales belgas y españolas se ha obtenido de informes y cobertura de los medios.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Rosario Zapata</w:t>
      </w:r>
    </w:p>
    <w:p w:rsidR="00C31F72" w:rsidRDefault="00C31F72" w:rsidP="00AB63FE">
      <w:pPr>
        <w:pStyle w:val="Sinespaciado"/>
        <w:spacing w:line="276" w:lineRule="auto"/>
        <w:ind w:left="-284"/>
        <w:rPr>
          <w:rFonts w:ascii="Arial" w:hAnsi="Arial" w:cs="Arial"/>
        </w:rPr>
      </w:pPr>
      <w:r>
        <w:rPr>
          <w:rFonts w:ascii="Arial" w:hAnsi="Arial" w:cs="Arial"/>
        </w:rPr>
        <w:t>Digital Distribution Management Iberica, S.A. C/ Gran Vía 1, 28014, Madrid.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https://www.notasdeprensa.es/la-contribucion-de-las-familias-reales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