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actividad de PYMES y autónomos será 100% digital en la próxima década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tres expertos que han participado esta semana en la jornada Fast Forward Sessions celebrada en Bilbao, han asegurado que la actividad de PYMES y autónomos será 100% digital en la próxima década, cuando los nacidos en la actualidad –la primera generación 100% digital-, se conviertan en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jornadas formativas, celebradas en las instalaciones bilbaínas de YIMI el pasado jueves, y a la que asistieron un centenar de empresas y autónomos, contaban con el patrocinio de Vodafone y la colaboración de Google,SanDisk, MuyPyme, SAGE, AJE e Ibercaja y tenían como objetivo la aportación real a cada participante de conocimientos digitales que puedan aplicar en sus negocios para mejorar su competitividad en Internet.</w:t>
            </w:r>
          </w:p>
          <w:p>
            <w:pPr>
              <w:ind w:left="-284" w:right="-427"/>
              <w:jc w:val="both"/>
              <w:rPr>
                <w:rFonts/>
                <w:color w:val="262626" w:themeColor="text1" w:themeTint="D9"/>
              </w:rPr>
            </w:pPr>
            <w:r>
              <w:t>El primero de los ponentes, Luis Serra -Director del Posgrado en E-Commerce y Cross Channel del INESDI, y fundador de BricMania- aseguró que “la actual revolución digital es como la revolución industrial del S.XVIII”, aunque recordó que, por su carácter global y la enorme competencia que encuentras, “cualquier proyecto empresarial que lancemos al mundo digital debe ser rompedor, diferente, en el fondo o en la forma…hay que ser disruptivos”. </w:t>
            </w:r>
          </w:p>
          <w:p>
            <w:pPr>
              <w:ind w:left="-284" w:right="-427"/>
              <w:jc w:val="both"/>
              <w:rPr>
                <w:rFonts/>
                <w:color w:val="262626" w:themeColor="text1" w:themeTint="D9"/>
              </w:rPr>
            </w:pPr>
            <w:r>
              <w:t>Martín Giménez –Responsable de Marketing en Google for Work-, insistió en la necesidad de que PYMESy autónomos completen la transformación digital de sus actividades, sea cual sea, ya que “no tiene sentido que se utilicen las nuevas tecnologías en el ámbito doméstico y no se haga en el ámbito laboral”. Giménez recordó que “la digitalización es un proceso imparable que no solo cambiará a las pequeñas empresas, sino que “supondrá también la incorporación de la generación de los llamados new millennials a las estructuras directivas de las grandes empresas, sustituyendo paulatinamente a los CEOs más veteranos”.</w:t>
            </w:r>
          </w:p>
          <w:p>
            <w:pPr>
              <w:ind w:left="-284" w:right="-427"/>
              <w:jc w:val="both"/>
              <w:rPr>
                <w:rFonts/>
                <w:color w:val="262626" w:themeColor="text1" w:themeTint="D9"/>
              </w:rPr>
            </w:pPr>
            <w:r>
              <w:t>Antes del debate entre el público y los ponentes y del encuentro de Networking con el que terminó la jornada, el experto en marketing digital, Ramón Romero, insistió en que cualquier estrategia de marketing y comunicación debe tener en cuenta las Redes Sociales y las herramientas para su posicionamiento en Internet porque, como explicó, “si tú no estás en Redes, lo estará tu competencia, con tus clientes y tus proveedores”. Romero recomendó el uso de los contenidos audiovisuales para presentarse en el mundo digital y hacerlo con contenidos que empaticen con tus usuarios, “que emocionen, que hagan reir o llorar”,  agregó.</w:t>
            </w:r>
          </w:p>
          <w:p>
            <w:pPr>
              <w:ind w:left="-284" w:right="-427"/>
              <w:jc w:val="both"/>
              <w:rPr>
                <w:rFonts/>
                <w:color w:val="262626" w:themeColor="text1" w:themeTint="D9"/>
              </w:rPr>
            </w:pPr>
            <w:r>
              <w:t>La semana que viene, Fast Forward Sessions llegará a Sevilla y contará con los ponentes Diego Gallego Experto en marketing digital y director general de Ranna Consultoría, Icaro Moyano, consejero de desarrollo corporativo en Brandmanic Work y miembro del consejo asesor de HighTrack -, y Ramón Romero –consultor en SEO, SEM y SMO y CEO de Green Team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Navarro</w:t>
      </w:r>
    </w:p>
    <w:p w:rsidR="00C31F72" w:rsidRDefault="00C31F72" w:rsidP="00AB63FE">
      <w:pPr>
        <w:pStyle w:val="Sinespaciado"/>
        <w:spacing w:line="276" w:lineRule="auto"/>
        <w:ind w:left="-284"/>
        <w:rPr>
          <w:rFonts w:ascii="Arial" w:hAnsi="Arial" w:cs="Arial"/>
        </w:rPr>
      </w:pPr>
      <w:r>
        <w:rPr>
          <w:rFonts w:ascii="Arial" w:hAnsi="Arial" w:cs="Arial"/>
        </w:rPr>
        <w:t>Fast Forward Sessions</w:t>
      </w:r>
    </w:p>
    <w:p w:rsidR="00AB63FE" w:rsidRDefault="00C31F72" w:rsidP="00AB63FE">
      <w:pPr>
        <w:pStyle w:val="Sinespaciado"/>
        <w:spacing w:line="276" w:lineRule="auto"/>
        <w:ind w:left="-284"/>
        <w:rPr>
          <w:rFonts w:ascii="Arial" w:hAnsi="Arial" w:cs="Arial"/>
        </w:rPr>
      </w:pPr>
      <w:r>
        <w:rPr>
          <w:rFonts w:ascii="Arial" w:hAnsi="Arial" w:cs="Arial"/>
        </w:rPr>
        <w:t>609811247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https://www.notasdeprensa.es/la-actividad-de-pymes-y-autonomos-sera-100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