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Koldo Carbonero nombrado vocal de la Comisión Nacional de Reproducción Humana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Dirigió la primera Unidad de Reproducción Asistida de Gipuzkoa. Logró que en 1994 naciera el primer "bebé probeta" del territorio guipuzcoano. Recientemente han logrado el embarazo nº 5.000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ginecólogo Koldo Carbonero, Director del Servicio de Reproducción Asistida de Quirónsalud en el País Vasco y Presidente de la Sección de Esterilidad e Infertilidad de la SEGO (SEISEGO) acaba de ser nombrado Vocal de la Comisión Nacional de Reproducción Humana Asistida por el Ministerio de Sanidad, Consumo y Bienestar Social.</w:t>
            </w:r>
          </w:p>
          <w:p>
            <w:pPr>
              <w:ind w:left="-284" w:right="-427"/>
              <w:jc w:val="both"/>
              <w:rPr>
                <w:rFonts/>
                <w:color w:val="262626" w:themeColor="text1" w:themeTint="D9"/>
              </w:rPr>
            </w:pPr>
            <w:r>
              <w:t>Koldo Carbonero dirigió la primera Unidad de Reproducción Asistida de Gipuzkoa y logró que en 1994 naciera el primer “bebé probeta” del Territorio guipuzcoano, es decir el primer niño gestado mediante técnicas de Fertilización In Vitro.</w:t>
            </w:r>
          </w:p>
          <w:p>
            <w:pPr>
              <w:ind w:left="-284" w:right="-427"/>
              <w:jc w:val="both"/>
              <w:rPr>
                <w:rFonts/>
                <w:color w:val="262626" w:themeColor="text1" w:themeTint="D9"/>
              </w:rPr>
            </w:pPr>
            <w:r>
              <w:t>Durante los últimos 30 años, la tecnología ha realizado grandes avances en el campo de la medicina reproductiva y el equipo que lidera Koldo Carbonero ha sido pionero en la incorporación de todas ellas. Recientemente han logrado el embarazo nº 5.000 en su servicio.</w:t>
            </w:r>
          </w:p>
          <w:p>
            <w:pPr>
              <w:ind w:left="-284" w:right="-427"/>
              <w:jc w:val="both"/>
              <w:rPr>
                <w:rFonts/>
                <w:color w:val="262626" w:themeColor="text1" w:themeTint="D9"/>
              </w:rPr>
            </w:pPr>
            <w:r>
              <w:t>La Comisión Nacional de Reproducción Humana Asistida está dirigida a asesorar y orientar sobre la utilización de las técnicas de reproducción humana asistida, a contribuir a la actualización y difusión de los conocimientos científicos y técnicos en esta materia, así como a la elaboración de criterios funcionales y estructurales de los centros y servicios donde aquellas se realizan, quedando adscrito al actual Ministerio de Sanidad, Consumo y Bienestar Social.</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Quirónsalud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https://www.notasdeprensa.es/koldo-carbonero-nombrado-vocal-de-la-comision_1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