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21/05/2015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José Benet Escolano, nombrado nuevo socio director de JBenet Abogados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Firma, fundada en 1973, es un referente internacional en materia de derecho laboral-marítimo. Benet, de 33 años, ha desarrollado su labor en firmas internacionales como KPMG Y PwC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JBENET ABOGADOS, la principal Firma de Derecho Laboral - Marítimo en España, anuncia el nombramiento de José Benet Escolano como nuevo Socio – Director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Abogado y Doctor Cum Laude en Derecho del Trabajo y Seguridad Social por la Facultad de Derecho de la Universidad de Valencia, José Benet Escolano  (Valencia, 1982) ha ejercido en los últimos años en firmas multinacionales como KMPG (2012-2014) y PricewaterhouseCoopers (2007-2012).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ambas firmas, Benet se especializó en el ejercicio profesional y la dirección letrada de Procedimientos en el Orden Jurisdiccional de lo Social y Contencioso – Administrativo a nivel nacional y en aspectos como la dirección, coordinación y ejecución de procedimientos de despidos colectivos y suspensiones contractuales.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FUNDADA EN 1973, REFERENTE A NIVEL INTERNACIONAL EN DERECHO LABORAL-MARÍTIMO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JBENET ABOGADOS, fundada en 1973, es una de las firmas más prestigiosas en la materia. Entre sus clientes, se encuentran, entre otros, las principales firmas marítimas y navieras, tanto a escala nacional como internacional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Bufete forma parte de la Conferencia Internacional de Trabajo Marítimo de la Organización Internacional del Trabajo (OIT) como despacho miembro y Consejero Técnico. Asimismo, es el Despacho Asesor Jurídico que  ha negociado y formalizado el Acuerdo Nacional en materia de Normas Básicas en materia de Embarcaciones y Tráfico Interior de Puertos por la Asociación Nacional de Remolcadores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Igualmente, ha dirigido el proceso negociador de los Convenios Colectivos Empresariales más significativos reguladores de los servicios en Tráfico Interior de Puertos del Estado de las importantes Navieras Boluda Corporación Marítima o Grupo Ibaizabal. El despacho ha intervenido y defendido algunos de los más delicados incidentes marítimos acaecidos durante las últimas dos décadas.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despacho de JBENET ABOGADOS se encuentra ubicado en la c/ Moratín, 11 de Valencia. La página web de la firma es www.jbenetabogados.com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Minister of Munitions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672129922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https://www.notasdeprensa.es/jose-benet-escolano-nombrado-nuevo-socio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Madrid Emprendedores Nombramientos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