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11403 el 27/03/2015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Hechos con Talento selecciona al creador del único software español para el Patronaje de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PATRONEO KEY es el único software español especifico para el Patronaje de Moda y cuenta con miles de usuarios de toda índole en más de 10 paises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jerezano Ignacio de Loyola Trigo Caparrini , creador de PATRONEO KEY, forma parte de la campaña www.hechosdetalento.es para promocionar el talento español en 17 países del mundo.</w:t>
            </w:r>
          </w:p>
          <w:p>
            <w:pPr>
              <w:ind w:left="-284" w:right="-427"/>
              <w:jc w:val="both"/>
              <w:rPr>
                <w:rFonts/>
                <w:color w:val="262626" w:themeColor="text1" w:themeTint="D9"/>
              </w:rPr>
            </w:pPr>
            <w:r>
              <w:t>	PATRONEO KEY es el unico software español especifico para el Patronaje de Moda, cuenta con miles de usuarios de toda índole en mas de 10 paises. En España se encuentra en 300 academias y escuelas del sector.</w:t>
            </w:r>
          </w:p>
          <w:p>
            <w:pPr>
              <w:ind w:left="-284" w:right="-427"/>
              <w:jc w:val="both"/>
              <w:rPr>
                <w:rFonts/>
                <w:color w:val="262626" w:themeColor="text1" w:themeTint="D9"/>
              </w:rPr>
            </w:pPr>
            <w:r>
              <w:t>	ENLACE PARA VOTAR:</w:t>
            </w:r>
          </w:p>
          <w:p>
            <w:pPr>
              <w:ind w:left="-284" w:right="-427"/>
              <w:jc w:val="both"/>
              <w:rPr>
                <w:rFonts/>
                <w:color w:val="262626" w:themeColor="text1" w:themeTint="D9"/>
              </w:rPr>
            </w:pPr>
            <w:r>
              <w:t>	https://www.hechosdetalento.es/candidaturas/?1195</w:t>
            </w:r>
          </w:p>
          <w:p>
            <w:pPr>
              <w:ind w:left="-284" w:right="-427"/>
              <w:jc w:val="both"/>
              <w:rPr>
                <w:rFonts/>
                <w:color w:val="262626" w:themeColor="text1" w:themeTint="D9"/>
              </w:rPr>
            </w:pPr>
            <w:r>
              <w:t>	PRINCIPALES CARACTERÍSTICAS FUNCIONALES</w:t>
            </w:r>
          </w:p>
          <w:p>
            <w:pPr>
              <w:ind w:left="-284" w:right="-427"/>
              <w:jc w:val="both"/>
              <w:rPr>
                <w:rFonts/>
                <w:color w:val="262626" w:themeColor="text1" w:themeTint="D9"/>
              </w:rPr>
            </w:pPr>
            <w:r>
              <w:t>		Creación de patrones por digitalización y/o dibujo.</w:t>
            </w:r>
          </w:p>
          <w:p>
            <w:pPr>
              <w:ind w:left="-284" w:right="-427"/>
              <w:jc w:val="both"/>
              <w:rPr>
                <w:rFonts/>
                <w:color w:val="262626" w:themeColor="text1" w:themeTint="D9"/>
              </w:rPr>
            </w:pPr>
            <w:r>
              <w:t>		Inserción de datos, piquetes, lineas auxiliares, contornos interiores, marcas y taladros.</w:t>
            </w:r>
          </w:p>
          <w:p>
            <w:pPr>
              <w:ind w:left="-284" w:right="-427"/>
              <w:jc w:val="both"/>
              <w:rPr>
                <w:rFonts/>
                <w:color w:val="262626" w:themeColor="text1" w:themeTint="D9"/>
              </w:rPr>
            </w:pPr>
            <w:r>
              <w:t>		Escalados proporcional, diferencial y automático.</w:t>
            </w:r>
          </w:p>
          <w:p>
            <w:pPr>
              <w:ind w:left="-284" w:right="-427"/>
              <w:jc w:val="both"/>
              <w:rPr>
                <w:rFonts/>
                <w:color w:val="262626" w:themeColor="text1" w:themeTint="D9"/>
              </w:rPr>
            </w:pPr>
            <w:r>
              <w:t>		Transformaciones y variaciones de patrones.</w:t>
            </w:r>
          </w:p>
          <w:p>
            <w:pPr>
              <w:ind w:left="-284" w:right="-427"/>
              <w:jc w:val="both"/>
              <w:rPr>
                <w:rFonts/>
                <w:color w:val="262626" w:themeColor="text1" w:themeTint="D9"/>
              </w:rPr>
            </w:pPr>
            <w:r>
              <w:t>		Gestión de la Biblioteca de patrones base; Iimportación y exportación de patrones y datos.</w:t>
            </w:r>
          </w:p>
          <w:p>
            <w:pPr>
              <w:ind w:left="-284" w:right="-427"/>
              <w:jc w:val="both"/>
              <w:rPr>
                <w:rFonts/>
                <w:color w:val="262626" w:themeColor="text1" w:themeTint="D9"/>
              </w:rPr>
            </w:pPr>
            <w:r>
              <w:t>		Compensación de encogimiento para tintado en prenda.</w:t>
            </w:r>
          </w:p>
          <w:p>
            <w:pPr>
              <w:ind w:left="-284" w:right="-427"/>
              <w:jc w:val="both"/>
              <w:rPr>
                <w:rFonts/>
                <w:color w:val="262626" w:themeColor="text1" w:themeTint="D9"/>
              </w:rPr>
            </w:pPr>
            <w:r>
              <w:t>		Herramientas para la marcada manual, detección automática de colisiones, informe, rendimientos, ajustes, etc.</w:t>
            </w:r>
          </w:p>
          <w:p>
            <w:pPr>
              <w:ind w:left="-284" w:right="-427"/>
              <w:jc w:val="both"/>
              <w:rPr>
                <w:rFonts/>
                <w:color w:val="262626" w:themeColor="text1" w:themeTint="D9"/>
              </w:rPr>
            </w:pPr>
            <w:r>
              <w:t>		Conectividad con dispositivos standard (tableros digitalizadores, plotters de impresión y corte, etc.)</w:t>
            </w:r>
          </w:p>
          <w:p>
            <w:pPr>
              <w:ind w:left="-284" w:right="-427"/>
              <w:jc w:val="both"/>
              <w:rPr>
                <w:rFonts/>
                <w:color w:val="262626" w:themeColor="text1" w:themeTint="D9"/>
              </w:rPr>
            </w:pPr>
            <w:r>
              <w:t>		Manejo fácil e intuitivo, Incluye completo manual de usuario y un tutorial de aprendizaje con ilustraciones.</w:t>
            </w:r>
          </w:p>
          <w:p>
            <w:pPr>
              <w:ind w:left="-284" w:right="-427"/>
              <w:jc w:val="both"/>
              <w:rPr>
                <w:rFonts/>
                <w:color w:val="262626" w:themeColor="text1" w:themeTint="D9"/>
              </w:rPr>
            </w:pPr>
            <w:r>
              <w:t>		Cursos on-line de apoyo de formación: modalidades autoformativa y tutorizada.</w:t>
            </w:r>
          </w:p>
          <w:p>
            <w:pPr>
              <w:ind w:left="-284" w:right="-427"/>
              <w:jc w:val="both"/>
              <w:rPr>
                <w:rFonts/>
                <w:color w:val="262626" w:themeColor="text1" w:themeTint="D9"/>
              </w:rPr>
            </w:pPr>
            <w:r>
              <w:t>		Módulos adicionales al software principal:</w:t>
            </w:r>
          </w:p>
          <w:p>
            <w:pPr>
              <w:ind w:left="-284" w:right="-427"/>
              <w:jc w:val="both"/>
              <w:rPr>
                <w:rFonts/>
                <w:color w:val="262626" w:themeColor="text1" w:themeTint="D9"/>
              </w:rPr>
            </w:pPr>
            <w:r>
              <w:t>	Ø  Módulo conversor de patrones ANSI/AAMA a los sistemas Investrónica, gerber y Lectra.</w:t>
            </w:r>
          </w:p>
          <w:p>
            <w:pPr>
              <w:ind w:left="-284" w:right="-427"/>
              <w:jc w:val="both"/>
              <w:rPr>
                <w:rFonts/>
                <w:color w:val="262626" w:themeColor="text1" w:themeTint="D9"/>
              </w:rPr>
            </w:pPr>
            <w:r>
              <w:t>	Ø  Módulo conversor HPGL a plotters de impresión</w:t>
            </w:r>
          </w:p>
          <w:p>
            <w:pPr>
              <w:ind w:left="-284" w:right="-427"/>
              <w:jc w:val="both"/>
              <w:rPr>
                <w:rFonts/>
                <w:color w:val="262626" w:themeColor="text1" w:themeTint="D9"/>
              </w:rPr>
            </w:pPr>
            <w:r>
              <w:t>	Ø  Módulo para la marcada automática: encaje automático de los patrones en el trazo.</w:t>
            </w:r>
          </w:p>
          <w:p>
            <w:pPr>
              <w:ind w:left="-284" w:right="-427"/>
              <w:jc w:val="both"/>
              <w:rPr>
                <w:rFonts/>
                <w:color w:val="262626" w:themeColor="text1" w:themeTint="D9"/>
              </w:rPr>
            </w:pPr>
            <w:r>
              <w:t>	Ø  Módulos para la automatización de patrones base de señora, caballero e infantil.</w:t>
            </w:r>
          </w:p>
          <w:p>
            <w:pPr>
              <w:ind w:left="-284" w:right="-427"/>
              <w:jc w:val="both"/>
              <w:rPr>
                <w:rFonts/>
                <w:color w:val="262626" w:themeColor="text1" w:themeTint="D9"/>
              </w:rPr>
            </w:pPr>
            <w:r>
              <w:t>	Ø  Módulo de impresión de patrones, escalados y marcadas en A4</w:t>
            </w:r>
          </w:p>
          <w:p>
            <w:pPr>
              <w:ind w:left="-284" w:right="-427"/>
              <w:jc w:val="both"/>
              <w:rPr>
                <w:rFonts/>
                <w:color w:val="262626" w:themeColor="text1" w:themeTint="D9"/>
              </w:rPr>
            </w:pPr>
            <w:r>
              <w:t>	Ø  Módulo de bocetos planos para la posterior inclusión de esquemas técnicas de las prendas en la ficha técnica.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Trigo Caparrini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620794920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https://www.notasdeprensa.es/hechos-con-talento-selecciona-al-creador-del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