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adquiere el registro fitosanitario de CUPRATEC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CUPRATEC, elaborado por Grupo Agrotecnología, logra el registro fitosanitario de COFEPRIS en México; un nuevo registro clave que refuerza su expansión internacional. Su exclusiva formulación le confiere una notable capacidad de sistemia dentro de la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0, ha obtenido de la Comisión Federal para la Protección contra Riesgos Sanitarios (COFEPRIS) el registro fitosanitario para CUPRATEC en México. Este registro fitosanitario, con vigencia hasta el 30/05/2023, es un sello de garantía en el mercado a la hora de plantear soluciones específicas adaptadas a las características y necesidades de la agricultura mexicana. En México se halla ubicada una de las filiales extranjeras que posee el Grupo donde se está trabajando de manera continua y con verdadero compromiso para incorporar nuevas estrategias y nuevas sinergias adaptadas al cambio de paradigma de agricultura sostenible.</w:t>
            </w:r>
          </w:p>
          <w:p>
            <w:pPr>
              <w:ind w:left="-284" w:right="-427"/>
              <w:jc w:val="both"/>
              <w:rPr>
                <w:rFonts/>
                <w:color w:val="262626" w:themeColor="text1" w:themeTint="D9"/>
              </w:rPr>
            </w:pPr>
            <w:r>
              <w:t>CUPRATEC es un bioplaguicida misceláneo se ha registrado para las siguientes enfermedades y cultivos: Mancha grasienta (mycosphaerella citri) en Cítricos (limonero, naranjo, mandarino, toronjo, tangerina, lima, pomelo; Mancha bacteriana (xanthomonas sp./pseudomonas sp.) en Solanáceas (berenjena, chile, chile bell, jitomate, papa, tabaco, tomate de cáscara) y, por último, Mancha bacteriana (sseudomonas sp.) en Cucurbitáceas (pepino, calabaza, chayote, chilacayote, sandía, melón, calabacita).</w:t>
            </w:r>
          </w:p>
          <w:p>
            <w:pPr>
              <w:ind w:left="-284" w:right="-427"/>
              <w:jc w:val="both"/>
              <w:rPr>
                <w:rFonts/>
                <w:color w:val="262626" w:themeColor="text1" w:themeTint="D9"/>
              </w:rPr>
            </w:pPr>
            <w:r>
              <w:t>La exclusiva fórmula de Cupratec no crea problemas de fitotoxicidad. Presenta una gran solubilidad y no da lugar a contaminaciones por exceso de cobre en suelo. Al ser un cobre de alta asimilación, tiene un efecto curativo más duradero de las enfermedades.</w:t>
            </w:r>
          </w:p>
          <w:p>
            <w:pPr>
              <w:ind w:left="-284" w:right="-427"/>
              <w:jc w:val="both"/>
              <w:rPr>
                <w:rFonts/>
                <w:color w:val="262626" w:themeColor="text1" w:themeTint="D9"/>
              </w:rPr>
            </w:pPr>
            <w:r>
              <w:t>El nuevo registro fitosanitario de CUPRATEC en México para Grupo Agrotecnología encarna un logro más en sus directrices de expansión internacional, fruto del trabajo continuo y de la fuerte inversión realizada en el sector de los bioestimulantes y biopesticidas de Residuo 0.</w:t>
            </w:r>
          </w:p>
          <w:p>
            <w:pPr>
              <w:ind w:left="-284" w:right="-427"/>
              <w:jc w:val="both"/>
              <w:rPr>
                <w:rFonts/>
                <w:color w:val="262626" w:themeColor="text1" w:themeTint="D9"/>
              </w:rPr>
            </w:pPr>
            <w:r>
              <w:t>Enrique Riquelme, CEO de Grupo Agrotecnología, indica que “actualmente, estamos inmersos en un proceso de internacionalización, a fin de consolidar nuestra presencia en nuevos mercados y convertirnos en un claro referente mundial”. Este nuevo registro fitosanitario, constituye el 9º para la empresa. Según Riquelme, “tenemos previsto ampliar hasta 15 registros en los próximos dos años, y llegar a conquistar así la primera posición en cuanto a registros biopesticidas naturales del mercado”.</w:t>
            </w:r>
          </w:p>
          <w:p>
            <w:pPr>
              <w:ind w:left="-284" w:right="-427"/>
              <w:jc w:val="both"/>
              <w:rPr>
                <w:rFonts/>
                <w:color w:val="262626" w:themeColor="text1" w:themeTint="D9"/>
              </w:rPr>
            </w:pPr>
            <w:r>
              <w:t>Agrotecnología: Grupo Agrotecnología S.L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https://www.notasdeprensa.es/grupo-agrotecnologia-adquiere-el-registro_1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