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08/06/2017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Grow.ly cumple 3 años de vida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junio del 2014 se firmaba el primer préstamo. El año pasado, Grow.ly celebraba los 2 años con 3 millones de euros financiados. Y ahora, en 2017, ha duplicado esta cifra superando ya los 6 millones de euros financiados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tercer año ha traído muchas buenas noticias: la CNMV (Comisión Nacional del Mercado de Valores) finalmente autorizó a Grow.ly como Plataforma de Financiación Participativa, se superaron los primeros 100 préstamos financiados, y se llevó a cabo una importante ronda de financiación contando ya con el apoyo de 28 accionistas, la pataforma y la web no han dejado de incorporar mejoras hasta el más mínimo detalle en busca de la usabilidad y utilidad. Además, como dice Mireia Badia, CEO de Grow.ly: "hemos visto como, mes a mes, el número de inversores y empresas que decidían trabajar con nosotros no hacía más que aumentar poniendo de nuevo en relieve la necesidad de un sector como el crowdlending en nuestro país".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Grow.ly ha financiado ya a 171 Pymes de 13 Comunidades Autónomas distintas, empresas que de media dan trabajo a 69 personas, que llevan en el mercado 21 años y que facturan alrededor de 6 millones de euros de media. En cuanto a sus más de 2.000 usuarios de media, prestan a unas 15 pymes y unos 580€ por proyecto.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equipo está muy orgulloso de la evolución de la plataforma, que como señala Mireia: "no hubiera sido posible sin la suma y la confianza de todo el entorno que rodea la empresa, el gran equipo que está detrás de Grow.ly y todos y cada uno de nuestros clientes, sin ellos no estaríamos hoy aquí. Desde Grow.ly queremos continuar mejorando cada día, dando mejor servicio tanto a empresas como a inversores, ofreciendo mayor transparencia y agilidad".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definitiva, este ha sido un tercer año lleno de hitos, donde además se han formulado nuevos retos y donde, con al apoyo de usuarios, trabajadores y accionistas, Grow.ly podrá seguir creciendo y mejorando día a día.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Grow.ly, creciendo juntos.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Mireia Badía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https://www.notasdeprensa.es/grow-ly-cumple-3-anos-de-vida_1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Emprendedores E-Commerce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