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11/02/2019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Gestiones 2010 explica la clave de la refinanciación de cuentas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la actualidad se ven incrementados los casos en los que se necesita una refinanciación de productos deudas, que se han generado en la crisis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actualidad se ven incrementados los casos en los que se necesita una refinanciación de productos deudas, que se han generado en la crisis.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Facilidades para refinanciar las deudasA día de hoy, el 80% de las empresas subsisten gracias a la financiación bancaria, incrementando el endeudamiento que acaba produciendo problemas de tesorería.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 las dificultades para conseguir nuevas financiaciones, la alternativa que se plantean los empresarios es presentar un concurso a fin de renegociar sus condiciones actuales, pero estas renegociaciones suelen ser complejas y delicadas. Suponen enfrentarse a un reajuste de la estructura financiera y, en consecuencia, explicar a los bancos acreedores las dificultades por las que pasan y llegar a acuerdos que deberán ser aceptados por una mayoría de acreedores.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país hay empresas importantes que han tenido grandes problemas financieros. Por ello el Gobierno ha incentivado a aplicar medidas que favorezcan o faciliten este tipo de refinanciaciones.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criterios bancarios se han ido endureciendo. Las dificultades para que concedan un crédito o para acometer cualquier negociación bancaria son muchas y muy diversas. Los problemas se incrementan cuando esas empresas son pilares básicos de la economía.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MaterializaciónEl Ministerio de Economía está analizando varias medidas que incentiven las refinanciaciones. El éxito de las mismas dependerá de la adhesión de las entidades a estas propuestas.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las medidas barajadas se encuentran las siguientes: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Evitar que un pequeño banco acreedor pueda bloquear negociaciones preconcursales, reduciendo los votos necesarios para la refinanciación de deudas, poniendo fin a las trabas que provocaban que muchas empresas se vieran avocadas al cierre a pesar de que los principales acreedores hubiesen llegado a un acuerdo con la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Incentivar el Mercado Alternativo de Renta Fija, el MARF, abaratando costes para la cotización. De este modo se reduce la dependencia de las empresas respecto de la financiación bancaria.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Incentivar la inversión en capital riesgo.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Gestión 2010 recomienda informarse sobre la refinanciación de cuentas, si la empresa sufre problemas de tesorería.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Alvaro Gordo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951650484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https://www.notasdeprensa.es/gestiones-2010-explica-la-clave-de-la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Finanzas Recursos humanos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