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11/02/2019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Gestiones 2010 explica la clave de la refinanciación de cuentas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la actualidad se ven incrementados los casos en los que se necesita una refinanciación de productos deudas, que se han generado en la crisis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actualidad se ven incrementados los casos en los que se necesita una refinanciación de productos deudas, que se han generado en la crisis.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Facilidades para refinanciar las deudasA día de hoy, el 80% de las empresas subsisten gracias a la financiación bancaria, incrementando el endeudamiento que acaba produciendo problemas de tesorería.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Ante las dificultades para conseguir nuevas financiaciones, la alternativa que se plantean los empresarios es presentar un concurso a fin de renegociar sus condiciones actuales, pero estas renegociaciones suelen ser complejas y delicadas. Suponen enfrentarse a un reajuste de la estructura financiera y, en consecuencia, explicar a los bancos acreedores las dificultades por las que pasan y llegar a acuerdos que deberán ser aceptados por una mayoría de acreedores.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país hay empresas importantes que han tenido grandes problemas financieros. Por ello el Gobierno ha incentivado a aplicar medidas que favorezcan o faciliten este tipo de refinanciaciones.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criterios bancarios se han ido endureciendo. Las dificultades para que concedan un crédito o para acometer cualquier negociación bancaria son muchas y muy diversas. Los problemas se incrementan cuando esas empresas son pilares básicos de la economía.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MaterializaciónEl Ministerio de Economía está analizando varias medidas que incentiven las refinanciaciones. El éxito de las mismas dependerá de la adhesión de las entidades a estas propuestas.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las medidas barajadas se encuentran las siguientes: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Evitar que un pequeño banco acreedor pueda bloquear negociaciones preconcursales, reduciendo los votos necesarios para la refinanciación de deudas, poniendo fin a las trabas que provocaban que muchas empresas se vieran avocadas al cierre a pesar de que los principales acreedores hubiesen llegado a un acuerdo con la 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Incentivar el Mercado Alternativo de Renta Fija, el MARF, abaratando costes para la cotización. De este modo se reduce la dependencia de las empresas respecto de la financiación bancaria.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Incentivar la inversión en capital riesgo.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Gestión 2010 recomienda informarse sobre la refinanciación de cuentas, si la empresa sufre problemas de tesorería.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Alvaro Gordo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951650484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https://www.notasdeprensa.es/gestiones-2010-explica-la-clave-de-la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Recursos humanos Actualidad Empresarial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