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comunica el cierre de una ampliación de capital liberada de 1.607.013,80 euros y el pago de una retribución en efectivo a sus accionistas de aprox. 156 millones de euros, en el marco del Programa Ferrovial Dividendo Flexible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Aumentos y reducciones del capital social. Información sobre dividendos.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INFORMACIÓN RELEVANTE</w:t>
            </w:r>
          </w:p>
          <w:p>
            <w:pPr>
              <w:ind w:left="-284" w:right="-427"/>
              <w:jc w:val="both"/>
              <w:rPr>
                <w:rFonts/>
                <w:color w:val="262626" w:themeColor="text1" w:themeTint="D9"/>
              </w:rPr>
            </w:pPr>
            <w:r>
              <w:t>	Como continuación de los hechos relevantes remitidos por la Sociedad a la Comisión Nacional del Mercado de Valores con fechas 13 de octubre de 2014 (número de registro 211869) y 30 de octubre de 2014 (número de registro 213396), FERROVIAL informa que con fecha 18 de noviembre de 2014 ha finalizado el periodo de negociación de los derechos de asignación gratuita correspondientes al aumento de capital liberado a través del cual se instrumenta el sistema de retribución al accionista denominado “Ferrovial Dividendo Flexible”.</w:t>
            </w:r>
          </w:p>
          <w:p>
            <w:pPr>
              <w:ind w:left="-284" w:right="-427"/>
              <w:jc w:val="both"/>
              <w:rPr>
                <w:rFonts/>
                <w:color w:val="262626" w:themeColor="text1" w:themeTint="D9"/>
              </w:rPr>
            </w:pPr>
            <w:r>
              <w:t>	Los titulares de un 44,55% de los derechos de asignación gratuita (un total de 329.437.829 derechos) han optado por recibir nuevas acciones de FERROVIAL. Por tanto, el número definitivo de acciones ordinarias de veinte céntimos de euro (0,20€) de valor nominal unitario que se han emitido en el aumento de capital es de 8.035.069, siendo el importe nominal del aumento 1.607.013,80 euros, lo que supone un incremento de aproximadamente el 1,09% sobre la cifra del capital social de FERROVIAL previa al aumento de capital.</w:t>
            </w:r>
          </w:p>
          <w:p>
            <w:pPr>
              <w:ind w:left="-284" w:right="-427"/>
              <w:jc w:val="both"/>
              <w:rPr>
                <w:rFonts/>
                <w:color w:val="262626" w:themeColor="text1" w:themeTint="D9"/>
              </w:rPr>
            </w:pPr>
            <w:r>
              <w:t>	Por otro lado, durante el plazo establecido al efecto, los titulares del 55,45% de los derechos de asignación gratuita han aceptado el compromiso irrevocable de compra de derechos asumido por FERROVIAL. En consecuencia, FERROVIAL ha adquirido un total de 409.983.768 derechos por un importe bruto total de 156.203.815,61 euros. FERROVIAL ha renunciado a las acciones correspondientes a los derechos de asignación gratuita adquiridos en virtud del indicado compromiso de compra.</w:t>
            </w:r>
          </w:p>
          <w:p>
            <w:pPr>
              <w:ind w:left="-284" w:right="-427"/>
              <w:jc w:val="both"/>
              <w:rPr>
                <w:rFonts/>
                <w:color w:val="262626" w:themeColor="text1" w:themeTint="D9"/>
              </w:rPr>
            </w:pPr>
            <w:r>
              <w:t>	El aumento de capital ha quedado cerrado con fecha 19 de noviembre de 2014.</w:t>
            </w:r>
          </w:p>
          <w:p>
            <w:pPr>
              <w:ind w:left="-284" w:right="-427"/>
              <w:jc w:val="both"/>
              <w:rPr>
                <w:rFonts/>
                <w:color w:val="262626" w:themeColor="text1" w:themeTint="D9"/>
              </w:rPr>
            </w:pPr>
            <w:r>
              <w:t>	Conforme al calendario previsto para la ejecución del aumento de capital, el pago en efectivo a los accionistas que optaron por vender los derechos de asignación gratuita a FERROVIAL se realizará el 21 de noviembre de 2014.</w:t>
            </w:r>
          </w:p>
          <w:p>
            <w:pPr>
              <w:ind w:left="-284" w:right="-427"/>
              <w:jc w:val="both"/>
              <w:rPr>
                <w:rFonts/>
                <w:color w:val="262626" w:themeColor="text1" w:themeTint="D9"/>
              </w:rPr>
            </w:pPr>
            <w:r>
              <w:t>	Asimismo, está previsto que, sujeto al cumplimiento de todos los requisitos legales (y, en particular, a la verificación de dicho cumplimiento por la Comisión Nacional del Mercado de Valores), las nuevas acciones queden admitidas a negociación en las Bolsas de Valores de Madrid, Barcelona, Bilbao y Valencia a través del Sistema de Interconexión Bursátil (Mercado Continuo) el 27 de noviembre de 2014 y que al día siguiente comience su contratación ordinaria.</w:t>
            </w:r>
          </w:p>
          <w:p>
            <w:pPr>
              <w:ind w:left="-284" w:right="-427"/>
              <w:jc w:val="both"/>
              <w:rPr>
                <w:rFonts/>
                <w:color w:val="262626" w:themeColor="text1" w:themeTint="D9"/>
              </w:rPr>
            </w:pPr>
            <w:r>
              <w:t>	Madrid, 19 de noviembre de 2014</w:t>
            </w:r>
          </w:p>
          <w:p>
            <w:pPr>
              <w:ind w:left="-284" w:right="-427"/>
              <w:jc w:val="both"/>
              <w:rPr>
                <w:rFonts/>
                <w:color w:val="262626" w:themeColor="text1" w:themeTint="D9"/>
              </w:rPr>
            </w:pPr>
            <w:r>
              <w:t>	Santiago Ortiz Vaamonde</w:t>
            </w:r>
          </w:p>
          <w:p>
            <w:pPr>
              <w:ind w:left="-284" w:right="-427"/>
              <w:jc w:val="both"/>
              <w:rPr>
                <w:rFonts/>
                <w:color w:val="262626" w:themeColor="text1" w:themeTint="D9"/>
              </w:rPr>
            </w:pPr>
            <w:r>
              <w:t>	Secretario del Consejo de Administración de Ferrovial, S.A.</w:t>
            </w:r>
          </w:p>
          <w:p>
            <w:pPr>
              <w:ind w:left="-284" w:right="-427"/>
              <w:jc w:val="both"/>
              <w:rPr>
                <w:rFonts/>
                <w:color w:val="262626" w:themeColor="text1" w:themeTint="D9"/>
              </w:rPr>
            </w:pPr>
            <w:r>
              <w:t>	 Más información sobre este Hecho Relevante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https://www.notasdeprensa.es/ferrovial-comunica-el-cierre-de-una-ampliacion_1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