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lanza la nueva generación del FaroArm®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 la relación valor/rendimiento en cuanto a la inspección en fabricación y la alineación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 FARO), la empresa más prestigiosa en el mundo de las soluciones para la medición y obtención de imágenes 3D con aplicación en metrología industrial, diseño de productos, BIM/CIM, seguridad pública y análisis forense, así como soluciones y servicios de 3D, lanza el nuevo QuantumS FaroArm® de FARO®.</w:t>
            </w:r>
          </w:p>
          <w:p>
            <w:pPr>
              <w:ind w:left="-284" w:right="-427"/>
              <w:jc w:val="both"/>
              <w:rPr>
                <w:rFonts/>
                <w:color w:val="262626" w:themeColor="text1" w:themeTint="D9"/>
              </w:rPr>
            </w:pPr>
            <w:r>
              <w:t>Este lanzamiento amplía el liderazgo en valor y rendimiento de FARO en el proceso de inspección de fabricación gracias a un rendimiento y una durabilidad excelentes, además de una ergonomía mejorada y, una portabilidad extrema. Puede solicitar demostraciones web en directo aquí.</w:t>
            </w:r>
          </w:p>
          <w:p>
            <w:pPr>
              <w:ind w:left="-284" w:right="-427"/>
              <w:jc w:val="both"/>
              <w:rPr>
                <w:rFonts/>
                <w:color w:val="262626" w:themeColor="text1" w:themeTint="D9"/>
              </w:rPr>
            </w:pPr>
            <w:r>
              <w:t>Rendimiento y durabilidadEl QuantumS está certificado con arreglo a la norma internacional ISO 10360-12:2016, de calidad de medición más rigurosa en estos momentos. A diferencia de las diversas normas regionales, por ejemplo la VDI/VDE 2617, esta norma global establece unos procedimientos de verificación uniformes y fundamentales que permiten llevar a cabo comparaciones objetivas de rendimiento entre todos y cada uno de los dispositivos de medición de coordenadas de tipo brazo articulado. Además, el QuantumS marca un nuevo hito de resistencia, ya que satisface los estándares de amortiguación, vibración y alivio de la tensión por temperatura de la Comisión Internacional de Electricidad (IEC 60068-2). Asimismo, con la incorporación de la sonda FAROBluTM Laser Line Probe HD, el QuantumS continúa la tradición de FARO de ofrecer la máxima consistencia de medición en todos los entornos de trabajo, tanto en modo con y sin contacto. Por último, FARO consolida su liderazgo en la mejora de la productividad de los usuarios finales al permitirles capturar más y mayores detalles con más rapidez que cualquier otro producto comparable del mercado.</w:t>
            </w:r>
          </w:p>
          <w:p>
            <w:pPr>
              <w:ind w:left="-284" w:right="-427"/>
              <w:jc w:val="both"/>
              <w:rPr>
                <w:rFonts/>
                <w:color w:val="262626" w:themeColor="text1" w:themeTint="D9"/>
              </w:rPr>
            </w:pPr>
            <w:r>
              <w:t>Facilidad de usoSu avanzada interfaz hombre-máquina y su ergonomía mejorada hacen del FARO QuantumS una extensión virtual del brazo humano y reducen el esfuerzo y el cansancio del operador hasta un 15 % en modo contacto. Este considerable aumento en términos de comodidad y portabilidad incrementa la productividad del operador al facilitarle el uso continuado en períodos prolongados durante su jornada laboral.</w:t>
            </w:r>
          </w:p>
          <w:p>
            <w:pPr>
              <w:ind w:left="-284" w:right="-427"/>
              <w:jc w:val="both"/>
              <w:rPr>
                <w:rFonts/>
                <w:color w:val="262626" w:themeColor="text1" w:themeTint="D9"/>
              </w:rPr>
            </w:pPr>
            <w:r>
              <w:t>PortabilidadQuantumS adelanta el concepto de portabilidad real y asegura un alcance extra de hasta un 40 %. Su avanzada capacidad inalámbrica garantiza una fiabilidad para la medición con y sin contacto sin cables comparable al de un accesorio con cable. Además, la posibilidad de cambiar sus baterías duales en caliente permite un funcionamiento continuo en cualquier lugar de la fábrica sin necesidad de alimentación eléctrica externa.</w:t>
            </w:r>
          </w:p>
          <w:p>
            <w:pPr>
              <w:ind w:left="-284" w:right="-427"/>
              <w:jc w:val="both"/>
              <w:rPr>
                <w:rFonts/>
                <w:color w:val="262626" w:themeColor="text1" w:themeTint="D9"/>
              </w:rPr>
            </w:pPr>
            <w:r>
              <w:t>"FARO se enorgullece enormemente de su posición de liderazgo en el mercado al ofrecer un FAROArm® un 25 % más preciso que cualquier otro FAROArm® hasta la fecha. Se trata del FAROArm® más resistente jamás construido y cumple los más exigentes estándares globales de calidad", afirma el Dr. Simon Raab, presidente y CEO de FARO. "Seguimos aumentando el valor y el rendimiento para aplicaciones de medición a gran escala combinando una facilidad de uso sin precedentes, un rendimiento de primer orden y unos precios basados en el valor añadido. La vanguardista interacción con el usuario, la portabilidad mejorada y la compatibilidad con la tecnología Super 6DoF mejoran considerablemente la experiencia del usuario final desde el punto de vista de la comodidad y la productividad personales".</w:t>
            </w:r>
          </w:p>
          <w:p>
            <w:pPr>
              <w:ind w:left="-284" w:right="-427"/>
              <w:jc w:val="both"/>
              <w:rPr>
                <w:rFonts/>
                <w:color w:val="262626" w:themeColor="text1" w:themeTint="D9"/>
              </w:rPr>
            </w:pPr>
            <w:r>
              <w:t>El QuantumS FaroArm® está a la venta ya en el mercado.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software de generación de imágenes y equipos de medición asistida por ordenador al servicio de los siguientes mercados:</w:t>
            </w:r>
          </w:p>
          <w:p>
            <w:pPr>
              <w:ind w:left="-284" w:right="-427"/>
              <w:jc w:val="both"/>
              <w:rPr>
                <w:rFonts/>
                <w:color w:val="262626" w:themeColor="text1" w:themeTint="D9"/>
              </w:rPr>
            </w:pPr>
            <w:r>
              <w:t>Metrología industrial: medición y obtención de imágenes 3D de alta precisión y comparación de piezas y estructuras complejas dentro de los procesos de producción y control de calidad.</w:t>
            </w:r>
          </w:p>
          <w:p>
            <w:pPr>
              <w:ind w:left="-284" w:right="-427"/>
              <w:jc w:val="both"/>
              <w:rPr>
                <w:rFonts/>
                <w:color w:val="262626" w:themeColor="text1" w:themeTint="D9"/>
              </w:rPr>
            </w:pPr>
            <w:r>
              <w:t>Construcción BIM-CIM: captura 3D de proyectos de construcción e instalaciones en condiciones originales para documentar estructuras complejas y realizar controles de calidad, planificación y conservación.</w:t>
            </w:r>
          </w:p>
          <w:p>
            <w:pPr>
              <w:ind w:left="-284" w:right="-427"/>
              <w:jc w:val="both"/>
              <w:rPr>
                <w:rFonts/>
                <w:color w:val="262626" w:themeColor="text1" w:themeTint="D9"/>
              </w:rPr>
            </w:pPr>
            <w:r>
              <w:t>Seguridad pública e investigación forense: captura y análisis de datos reales del incidente in situ para investigar accidentes, crímenes e incendios, planificar la seguridad, y proporcionar entrenamiento en realidad virtual para personal de seguridad pública.</w:t>
            </w:r>
          </w:p>
          <w:p>
            <w:pPr>
              <w:ind w:left="-284" w:right="-427"/>
              <w:jc w:val="both"/>
              <w:rPr>
                <w:rFonts/>
                <w:color w:val="262626" w:themeColor="text1" w:themeTint="D9"/>
              </w:rPr>
            </w:pPr>
            <w:r>
              <w:t>Diseño de productos: digitaliza datos 3D detallados y precisos de productos existentes, permitiendo análisis y rediseño CAD, diseño de productos post-venta y replicación de piezas antiguas.</w:t>
            </w:r>
          </w:p>
          <w:p>
            <w:pPr>
              <w:ind w:left="-284" w:right="-427"/>
              <w:jc w:val="both"/>
              <w:rPr>
                <w:rFonts/>
                <w:color w:val="262626" w:themeColor="text1" w:themeTint="D9"/>
              </w:rPr>
            </w:pPr>
            <w:r>
              <w:t>Visión Artificial 3D: visión 3D para control y medición del piso de producción a través de sensores 3D y soluciones a la medida.</w:t>
            </w:r>
          </w:p>
          <w:p>
            <w:pPr>
              <w:ind w:left="-284" w:right="-427"/>
              <w:jc w:val="both"/>
              <w:rPr>
                <w:rFonts/>
                <w:color w:val="262626" w:themeColor="text1" w:themeTint="D9"/>
              </w:rPr>
            </w:pPr>
            <w:r>
              <w:t>En todo el mundo, aproximadamente 15.000 clientes operan en más de 30.000 instalaciones con sistemas de FARO. La sede global de la compañía se encuentra en Lake Mary, Florida (EE.UU.), su oficina principal europea en Stuttgart (Alemania) y su oficina principal para Asia/Pacífico en Singapur. FARO tiene sucursales en EEUU, Canadá, México, Brasil, Alemania, Reino Unido, Francia, España, Italia, Polonia, Turquía, Países Bajos, Suiza, Portugal, India, China, Malasia, Tailandia, Corea del Sur, Japón y Australia.</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ejercicio finalizado el 31 de diciembre de 2016 y sobre el Formulario 10-Q para el trimestre finalizado el 31 de marzo de 2017.</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931370334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https://www.notasdeprensa.es/faro-lanza-la-nueva-generacion-del-faroarm_1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