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juego la primera jornada del Campeonato de España Interclubes Infantil REALE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en juego la primera jornada del Campeonato de España Interclubes Infantil REALE, que se disputa en dos días en el campo de Guadalhorce Club de Golf, en la provincia de Málaga. La competición alcanza su trigésimo séptima edición, lo que pone de manifiesto su relevancia dent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en juego la primera jornada del Campeonato de España Interclubes Infantil REALE, que se disputa en dos días en el campo de Guadalhorce Club de Golf, en la provincia de Málaga. La competición alcanza su trigésimo séptima edición, lo que pone de manifiesto su relevancia dentro del panorama golfístico nacional.</w:t>
            </w:r>
          </w:p>
          <w:p>
            <w:pPr>
              <w:ind w:left="-284" w:right="-427"/>
              <w:jc w:val="both"/>
              <w:rPr>
                <w:rFonts/>
                <w:color w:val="262626" w:themeColor="text1" w:themeTint="D9"/>
              </w:rPr>
            </w:pPr>
            <w:r>
              <w:t>Los 35 clubes presentes en Guadalhorce Club de Golf son los siguientes: Goiburu –poseedor del hándicap de juego conjunto más bajo de todos los participantes (10,9)–, Golf Park, Guadalmina, Basozábal, Escorpión, Centro de Tecnificación de Madrid, San Sebastián, Vallromanas, Costa de Azahar, Alcaidesa, Señorío de Zuasti, La Cañada, La Dehesa, Puerta de Hierro, Sotogrande, Villa de Madrid, Borriol, Jarama RACE, Gorráiz, RCG Las Palmas, Zarauz, Terramar, Nuevo CG Madrid, Centro Nacional de Golf, Retamares, La Monacilla, La Peñaza, Mataleñas, Sant Cugat, Base Aérea de Zaragoza, Guadalhorce, Benalmádena y El Paraíso.</w:t>
            </w:r>
          </w:p>
          <w:p>
            <w:pPr>
              <w:ind w:left="-284" w:right="-427"/>
              <w:jc w:val="both"/>
              <w:rPr>
                <w:rFonts/>
                <w:color w:val="262626" w:themeColor="text1" w:themeTint="D9"/>
              </w:rPr>
            </w:pPr>
            <w:r>
              <w:t>El interés suscitado por este Campeonato, auspiciado por la empresa REALE SEGUROS, queda reflejado en el elevado número de clubes participantes, 35 en total, que lucharán durante dos jornadas por un título que ha adquirido con el paso del tiempo un gran interés en el ámbito del golf en nuestro país.</w:t>
            </w:r>
          </w:p>
          <w:p>
            <w:pPr>
              <w:ind w:left="-284" w:right="-427"/>
              <w:jc w:val="both"/>
              <w:rPr>
                <w:rFonts/>
                <w:color w:val="262626" w:themeColor="text1" w:themeTint="D9"/>
              </w:rPr>
            </w:pPr>
            <w:r>
              <w:t>Consulta los resultados y horarios de salida al término de la jornada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https://www.notasdeprensa.es/en-juego-la-primera-jornada-del-campeonato-de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