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08025 Barcelona el 03/11/2012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Organizador Profesional de Congresos Top Congress, a cargo de las Jornadas de Enfermedades Infecciosas de la FACMSC.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Satisfactorio balance de las reuniones celebradas en la Vall de Núria.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Organizador Profesional de Congresos Top Congress ha organizado muy satisfactoriamente las XXI Jornadas de Enfermedades Infecciosas que, bajo la batuta de la FACMSC, se llevaron a cabo en la Vall de Núria. En el entorno único del Pirineo catalán, Top Congress congregó en estas Jornadas a 120 asistentes quienes realizaron un intenso y profundo trabajo de debate. A lo largo de varios días y a final del mes de octubre,  Top Congress coordinó como es habitual todos los servicios necesarios en la Vall de Núria, para que las Jornadas se celebrasen con el exigente nivel de calidad que Top Congress garantiza y cumple siempre con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Francesc Poyato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https://www.notasdeprensa.es/el-organizador-profesional-de-congresos-top-congress-a-cargo-de-las-jornadas-de-enfermedades-infecciosas-de-la-facmsc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