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anima a un cambio en la movilidad como punto de partida para un desarrollo urbano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la importancia de lograr una mayor implantación de vehículos eléctricos. Considera que las administraciones deben conseguir que la movilidad sostenible quede integrada en la ordenación del territorio y en la planificación urbanística. Subraya la necesidad de propiciar un cambio de conducta en la sociedad para elegir medios de transporte más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Agricultura, Alimentación y Medio Ambiente, Isabel García Tejerina, ha subrayado la necesidad de cambiar la manera en la que nos desplazamos por las ciudades para conseguir un desarrollo urbano sostenible. Para la ministra, este cambio en el transporte supone un desafío, pero también ofrece grandes oportunidades.</w:t>
            </w:r>
          </w:p>
          <w:p>
            <w:pPr>
              <w:ind w:left="-284" w:right="-427"/>
              <w:jc w:val="both"/>
              <w:rPr>
                <w:rFonts/>
                <w:color w:val="262626" w:themeColor="text1" w:themeTint="D9"/>
              </w:rPr>
            </w:pPr>
            <w:r>
              <w:t>Isabel García Tejerina ha entregado hoy los premios a la Mejor Práctica en Movilidad Sostenible, una iniciativa conjunta del Club de Excelencia y de la Fundación Renault que este año cumple su cuarta edición.</w:t>
            </w:r>
          </w:p>
          <w:p>
            <w:pPr>
              <w:ind w:left="-284" w:right="-427"/>
              <w:jc w:val="both"/>
              <w:rPr>
                <w:rFonts/>
                <w:color w:val="262626" w:themeColor="text1" w:themeTint="D9"/>
              </w:rPr>
            </w:pPr>
            <w:r>
              <w:t>Durante su intervención, García Tejerina ha apuntado que, según datos de Naciones Unidas, las ciudades producen el 70% del PIB mundial, consumen en torno al 60% de la energía y son responsables del 70% de las emisiones de gases de efecto invernadero y de los residuos generados cada año en el mundo.</w:t>
            </w:r>
          </w:p>
          <w:p>
            <w:pPr>
              <w:ind w:left="-284" w:right="-427"/>
              <w:jc w:val="both"/>
              <w:rPr>
                <w:rFonts/>
                <w:color w:val="262626" w:themeColor="text1" w:themeTint="D9"/>
              </w:rPr>
            </w:pPr>
            <w:r>
              <w:t>Por lo tanto, la ministra entiende que no es posible consolidar un desarrollo sostenible sin transformar la forma en la que construimos, administramos y utilizamos los espacios urbanos. Según ha precisado, en esta dirección se sitúan los esfuerzos de la comunidad internacional, ya sea en la Agenda 2030 para el Desarrollo Sostenible, el reciente Acuerdo de París o la Conferencia Hábitat III de Naciones Unidas sobre Vivienda y Desarrollo Urbano Sostenible, que se celebrará en Quito en octubre.</w:t>
            </w:r>
          </w:p>
          <w:p>
            <w:pPr>
              <w:ind w:left="-284" w:right="-427"/>
              <w:jc w:val="both"/>
              <w:rPr>
                <w:rFonts/>
                <w:color w:val="262626" w:themeColor="text1" w:themeTint="D9"/>
              </w:rPr>
            </w:pPr>
            <w:r>
              <w:t>Movilidad sostenibleSegún ha comentado, todos estos foros internacionales buscan alcanzar compromisos políticos de alcance global, orientados a conseguir un desarrollo urbano sostenible, donde el cambio en el modelo de transporte resulta necesario.</w:t>
            </w:r>
          </w:p>
          <w:p>
            <w:pPr>
              <w:ind w:left="-284" w:right="-427"/>
              <w:jc w:val="both"/>
              <w:rPr>
                <w:rFonts/>
                <w:color w:val="262626" w:themeColor="text1" w:themeTint="D9"/>
              </w:rPr>
            </w:pPr>
            <w:r>
              <w:t>Para García Tejerina, mejorar la eficiencia de los vehículos, descarbonizar los combustibles, usar sistemas inteligentes y fomentar el trasvase hacia modos más eficientes y respetuosos con el medio ambiente son ámbitos en los que ya es posible avanzar. En este sentido, García Tejerina ha destacado la importancia de lograr una mayor implantación de vehículos eléctricos, donde el Grupo Renault viene demostrando sus capacidades.</w:t>
            </w:r>
          </w:p>
          <w:p>
            <w:pPr>
              <w:ind w:left="-284" w:right="-427"/>
              <w:jc w:val="both"/>
              <w:rPr>
                <w:rFonts/>
                <w:color w:val="262626" w:themeColor="text1" w:themeTint="D9"/>
              </w:rPr>
            </w:pPr>
            <w:r>
              <w:t>Por su parte, las administraciones deben conseguir que la movilidad sostenible quede integrada en la ordenación del territorio y en la planificación urbanística. En este contexto, García Tejerina ha citado, entre las iniciativas apoyadas por el Ministerio de Agricultura, Alimentación y Medio Ambiente, la Estrategia Española de Movilidad Sostenible, el Observatorio de la Movilidad Metropolitana o la Semana Europea de la Movilidad.</w:t>
            </w:r>
          </w:p>
          <w:p>
            <w:pPr>
              <w:ind w:left="-284" w:right="-427"/>
              <w:jc w:val="both"/>
              <w:rPr>
                <w:rFonts/>
                <w:color w:val="262626" w:themeColor="text1" w:themeTint="D9"/>
              </w:rPr>
            </w:pPr>
            <w:r>
              <w:t>Asimismo, la ministra se ha referido al impulso del Plan Nacional de Calidad del Aire y Protección de la Atmósfera 2013-2016 (Plan AIRE), como principal instrumento vertebrador en este ámbito, que se ha desarrollado mediante el Plan de Impulso al Medio Ambiente (PIMA Aire), con cuatro ediciones y una dotación total de 53 millones de euros.</w:t>
            </w:r>
          </w:p>
          <w:p>
            <w:pPr>
              <w:ind w:left="-284" w:right="-427"/>
              <w:jc w:val="both"/>
              <w:rPr>
                <w:rFonts/>
                <w:color w:val="262626" w:themeColor="text1" w:themeTint="D9"/>
              </w:rPr>
            </w:pPr>
            <w:r>
              <w:t>Lucha contra el cambio climáticoPor otro lado, García Tejerina ha recalcado los esfuerzos llevados a cabo estos últimos cuatro años en la lucha contra el cambio climático. De esta forma, España cumple el Protocolo de Kioto y tiene en marcha un gran número de iniciativas innovadoras de mitigación para cumplir con los objetivos a 2020.</w:t>
            </w:r>
          </w:p>
          <w:p>
            <w:pPr>
              <w:ind w:left="-284" w:right="-427"/>
              <w:jc w:val="both"/>
              <w:rPr>
                <w:rFonts/>
                <w:color w:val="262626" w:themeColor="text1" w:themeTint="D9"/>
              </w:rPr>
            </w:pPr>
            <w:r>
              <w:t>Entre estas iniciativas, la ministra ha mencionado los Proyectos Clima, el Registro Nacional de la Huella de Carbono o la Hoja de Ruta en sectores difusos, con 43 medidas para disminuir emisiones en sectores como el transporte. También se incluyen los proyectos participativos como el de "Un millón de compromisos por el clima", para involucrar a la sociedad en la lucha contra el cambio climático, algo que resulta fundamental para impulsar un cambio de conducta a la hora de elegir medios de transporte más sostenibles.</w:t>
            </w:r>
          </w:p>
          <w:p>
            <w:pPr>
              <w:ind w:left="-284" w:right="-427"/>
              <w:jc w:val="both"/>
              <w:rPr>
                <w:rFonts/>
                <w:color w:val="262626" w:themeColor="text1" w:themeTint="D9"/>
              </w:rPr>
            </w:pPr>
            <w:r>
              <w:t>En este contexto, García Tejerina se ha referido a los proyectos galardonados en esta edición de los premios a la Mejor Práctica en Movilidad Sostenible, cuyas actuaciones innovadoras y efectivas contribuirán a alcanzar una movilidad más sostenible. </w:t>
            </w:r>
          </w:p>
          <w:p>
            <w:pPr>
              <w:ind w:left="-284" w:right="-427"/>
              <w:jc w:val="both"/>
              <w:rPr>
                <w:rFonts/>
                <w:color w:val="262626" w:themeColor="text1" w:themeTint="D9"/>
              </w:rPr>
            </w:pPr>
            <w:r>
              <w:t>El contenido de este comunicado fue publicado previamente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https://www.notasdeprensa.es/el-ministerio-de-agricultura-anima-a-un-cambio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Alimentaria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