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juego online cierra el último trimestre de 2019 con unos beneficios de 4.567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reflejan una reducción del 1,29% frente a la etapa anterior, en la que se recaudaron 4.627 millones de euros. Mario Rodríguez, responsable de Marketing de Tombola.es, constata que el bingo ha experimentado un crecimiento del 4,98% en comparación con el tramo abril-junio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confirma la Dirección General de Ordenación del Juego, en su informe que aborda el tercer trimestre de 2019, el sector sigue disfrutando de una gran proyección en nuestro país. Los datos no dan lugar a error: 191,68 millones de euros en margen de juego (GGR), lo que supone un incremento del 7,48% en relación al tramo precedente. Se han facturado más de 4.567 millones de euros durante este periodo, que, a su vez, suponen un ligero descenso del 1,29%.</w:t>
            </w:r>
          </w:p>
          <w:p>
            <w:pPr>
              <w:ind w:left="-284" w:right="-427"/>
              <w:jc w:val="both"/>
              <w:rPr>
                <w:rFonts/>
                <w:color w:val="262626" w:themeColor="text1" w:themeTint="D9"/>
              </w:rPr>
            </w:pPr>
            <w:r>
              <w:t>En cuanto a las magnitudes consideradas, los depósitos y retiradas disminuyen sus tasas de variación en comparación con los meses antecedentes (-0,44% y -3,78% respectivamente). La media mensual de cuentas activas ha sido de 869.499, logrando un crecimiento del 0,96%.</w:t>
            </w:r>
          </w:p>
          <w:p>
            <w:pPr>
              <w:ind w:left="-284" w:right="-427"/>
              <w:jc w:val="both"/>
              <w:rPr>
                <w:rFonts/>
                <w:color w:val="262626" w:themeColor="text1" w:themeTint="D9"/>
              </w:rPr>
            </w:pPr>
            <w:r>
              <w:t>La inversión destinada a marketing ha sido de 82,3 millones de euros, con una mejoría anual del 6,05%. La partida se puede dividir en gastos de afiliación (9,60 millones), patrocinio (5,46 millones), promociones (31,73 millones) y publicidad (35,46 millones). Comparado con la fase anterior este gasto aumenta en un 0,16%, debido al auge en un 45,65% de los patrocinios y un 10,50% en afiliados.</w:t>
            </w:r>
          </w:p>
          <w:p>
            <w:pPr>
              <w:ind w:left="-284" w:right="-427"/>
              <w:jc w:val="both"/>
              <w:rPr>
                <w:rFonts/>
                <w:color w:val="262626" w:themeColor="text1" w:themeTint="D9"/>
              </w:rPr>
            </w:pPr>
            <w:r>
              <w:t>Considerando los distintos segmentos, se observa que los 191,68 millones obtenidos se dividen en 100,77 millones que van a parar a apuestas (52,57%), 3,18 a Bingos (1,66%), 66,53 a Casinos (34,71%), 0,73 a Concursos (0,38%) y 20,48 a Póquer (10,68%).</w:t>
            </w:r>
          </w:p>
          <w:p>
            <w:pPr>
              <w:ind w:left="-284" w:right="-427"/>
              <w:jc w:val="both"/>
              <w:rPr>
                <w:rFonts/>
                <w:color w:val="262626" w:themeColor="text1" w:themeTint="D9"/>
              </w:rPr>
            </w:pPr>
            <w:r>
              <w:t>Existen 80 operadores con licencia, que durante el periodo analizado han desarrollado su actividad en los siguientes ámbitos:</w:t>
            </w:r>
          </w:p>
          <w:p>
            <w:pPr>
              <w:ind w:left="-284" w:right="-427"/>
              <w:jc w:val="both"/>
              <w:rPr>
                <w:rFonts/>
                <w:color w:val="262626" w:themeColor="text1" w:themeTint="D9"/>
              </w:rPr>
            </w:pPr>
            <w:r>
              <w:t>Apuestas: 37</w:t>
            </w:r>
          </w:p>
          <w:p>
            <w:pPr>
              <w:ind w:left="-284" w:right="-427"/>
              <w:jc w:val="both"/>
              <w:rPr>
                <w:rFonts/>
                <w:color w:val="262626" w:themeColor="text1" w:themeTint="D9"/>
              </w:rPr>
            </w:pPr>
            <w:r>
              <w:t>Bingo: 3</w:t>
            </w:r>
          </w:p>
          <w:p>
            <w:pPr>
              <w:ind w:left="-284" w:right="-427"/>
              <w:jc w:val="both"/>
              <w:rPr>
                <w:rFonts/>
                <w:color w:val="262626" w:themeColor="text1" w:themeTint="D9"/>
              </w:rPr>
            </w:pPr>
            <w:r>
              <w:t>Casino: 42</w:t>
            </w:r>
          </w:p>
          <w:p>
            <w:pPr>
              <w:ind w:left="-284" w:right="-427"/>
              <w:jc w:val="both"/>
              <w:rPr>
                <w:rFonts/>
                <w:color w:val="262626" w:themeColor="text1" w:themeTint="D9"/>
              </w:rPr>
            </w:pPr>
            <w:r>
              <w:t>Concursos: 2</w:t>
            </w:r>
          </w:p>
          <w:p>
            <w:pPr>
              <w:ind w:left="-284" w:right="-427"/>
              <w:jc w:val="both"/>
              <w:rPr>
                <w:rFonts/>
                <w:color w:val="262626" w:themeColor="text1" w:themeTint="D9"/>
              </w:rPr>
            </w:pPr>
            <w:r>
              <w:t>Póquer: 9</w:t>
            </w:r>
          </w:p>
          <w:p>
            <w:pPr>
              <w:ind w:left="-284" w:right="-427"/>
              <w:jc w:val="both"/>
              <w:rPr>
                <w:rFonts/>
                <w:color w:val="262626" w:themeColor="text1" w:themeTint="D9"/>
              </w:rPr>
            </w:pPr>
            <w:r>
              <w:t>El bingo creció un 4,98% durante el tramo analizado y un 1,06% respecto al mismo trimestre de 2018, según confirma Mario Rodríguez, responsable de Marketing de Tombola.es “Esto datos reflejan la buena salud que tiene la versión online del juego, que cada vez gana más seguidores y garantiza un crecimiento exponencial a corto plazo”, afirma.</w:t>
            </w:r>
          </w:p>
          <w:p>
            <w:pPr>
              <w:ind w:left="-284" w:right="-427"/>
              <w:jc w:val="both"/>
              <w:rPr>
                <w:rFonts/>
                <w:color w:val="262626" w:themeColor="text1" w:themeTint="D9"/>
              </w:rPr>
            </w:pPr>
            <w:r>
              <w:t>En lo que respecta a casinos el decrecimiento ha llegado hasta el 3,62%, con una tasa de variación anual del 9,26%. Esto se debe principalmente a una mayor producción de máquinas de azar, que ha logrado ampliar notablemente su cuota de mercado.</w:t>
            </w:r>
          </w:p>
          <w:p>
            <w:pPr>
              <w:ind w:left="-284" w:right="-427"/>
              <w:jc w:val="both"/>
              <w:rPr>
                <w:rFonts/>
                <w:color w:val="262626" w:themeColor="text1" w:themeTint="D9"/>
              </w:rPr>
            </w:pPr>
            <w:r>
              <w:t>Los concursos son los verdaderos ganadores del periodo analizado, con cuotas que alcanzan incrementos del 54,52% y el 128,23% en lo que se refiere a la variación anual.</w:t>
            </w:r>
          </w:p>
          <w:p>
            <w:pPr>
              <w:ind w:left="-284" w:right="-427"/>
              <w:jc w:val="both"/>
              <w:rPr>
                <w:rFonts/>
                <w:color w:val="262626" w:themeColor="text1" w:themeTint="D9"/>
              </w:rPr>
            </w:pPr>
            <w:r>
              <w:t>El póquer, sin embargo, representa una evolución positiva pero más suave (+5,77%). Su aumento se debe principalmente al póquer torneo que registra una variación trimestral positiva del 12,36%.</w:t>
            </w:r>
          </w:p>
          <w:p>
            <w:pPr>
              <w:ind w:left="-284" w:right="-427"/>
              <w:jc w:val="both"/>
              <w:rPr>
                <w:rFonts/>
                <w:color w:val="262626" w:themeColor="text1" w:themeTint="D9"/>
              </w:rPr>
            </w:pPr>
            <w:r>
              <w:t>Además, las apuestas se convierten en uno de los motores que mejor funcionan en este ámbito, con una tasa de crecimiento del 16,56% y del 3,20% respecto al año 2018.</w:t>
            </w:r>
          </w:p>
          <w:p>
            <w:pPr>
              <w:ind w:left="-284" w:right="-427"/>
              <w:jc w:val="both"/>
              <w:rPr>
                <w:rFonts/>
                <w:color w:val="262626" w:themeColor="text1" w:themeTint="D9"/>
              </w:rPr>
            </w:pPr>
            <w:r>
              <w:t>Todos estos datos confirman que el marco legal específico que entró en vigor en junio de 2012 ha logrado cambiar el paradigma del sector. En la actualidad es una importante fuente de ingresos para el erario público y, de igual modo, la protección legal desarrollada ha contribuido a mejorar la confianza en el entorno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722520534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https://www.notasdeprensa.es/el-juego-online-cierra-el-ultimo-trimestre-de_1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