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Hospital Veterinario Nacho Menes colabora en un estudio de la Universidad Complutense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versa sobre la prevalencia de una enfermedad transmitida por garrapatas en perros en la zona de Asturias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infección por Theileria annae/Babesia microti-like en el perro se considera una enfermedad vectorial transmitida por garrapatas del género Ixodes. Es una enfermedad de carácter emergente y endémico en toda la Comunidad Gallega. Este protozoo se identificó por primera vez en un perro procedente de Alemania que había pasado una temporada en los pirineos. Por tanto, es posible que su presencia se extienda por toda la Cornisa Cantábrica. Los perros infectados presentan un cuadro clínico característico de piroplasmosis, que cursa con fiebre, anorexia, decaimiento, hemoglobinuria, anemia y trombocitopenia, y en consecuencia, frecuentemente son diagnosticados erróneamente como una infección por Babesia canis. El objetivo de este estudio pretende ampliar el conocimiento, por ahora muy limitado, de la infección por Theileria annae, especialmente en Asturias, profundizando en el diagnóstico clínico y serológico, así como evaluar de eficacia terapéutica de diferentes fármacos, ya que parece que las opciones de tratamiento que se emplean habitualmente para tratar la babesiosis no son las más eficaces para tratar esta infección, de ahí la importancia de saber reconocer e identificar correctamente esta enfermedad.</w:t>
            </w:r>
          </w:p>
          <w:p>
            <w:pPr>
              <w:ind w:left="-284" w:right="-427"/>
              <w:jc w:val="both"/>
              <w:rPr>
                <w:rFonts/>
                <w:color w:val="262626" w:themeColor="text1" w:themeTint="D9"/>
              </w:rPr>
            </w:pPr>
            <w:r>
              <w:t>El estudio se basa en la recogida de muestras de sangre y garrapatas de perros enfermos que visitaron al veterinario con cuadros clínicos compatibles con esta enfermedad. A partir de la sangre se realizan análisis para determinar el estado de salud del animal e identificar este agente infeccioso u otros transmitidos por garrapatas. También es muy útil el estudio e identificación de las especies de garrapatas del animal porque esto permite conocer mejor al vector transmisor de la enfermedad e identificar también la presencia del parásito en ellas.</w:t>
            </w:r>
          </w:p>
          <w:p>
            <w:pPr>
              <w:ind w:left="-284" w:right="-427"/>
              <w:jc w:val="both"/>
              <w:rPr>
                <w:rFonts/>
                <w:color w:val="262626" w:themeColor="text1" w:themeTint="D9"/>
              </w:rPr>
            </w:pPr>
            <w:r>
              <w:t>Inicialmente se analizaron 64 muestras de perros que acudieron a su veterinario con cuadros clínicos compatibles con piroplasmosis. De esas 64 muestras 10 correspondían a perros visitados en el Hospital Veterinario Nacho Menes. En 26 de los 64 frotis de sangre analizados se identificaron formas compatibles con Theileria annae.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Veterinario Nacho Menes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https://www.notasdeprensa.es/el-hospital-veterinario-nacho-menes-colabora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Veterinaria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