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HbbTV y la realidad aumentada y virtual necesitarán especialmente banda ancha garantizada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estudiaron indicadores estratégicos de las telecomunicaciones, como los fundamentos en la evolución de la tecnología de banda ancha, la relación entre contenidos y receptor y los nuevos estándares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interactividad del HbbTV, especialmente en aplicaciones publicitarias, y la realidad aumentada y virtual son ejemplos de comunicación que requerirán un flujo garantizado de banda ancha”, afirma el Dr. Joan Francesc Fondevila Gascón, director del Centro de Estudios sobre el Cable (CECABLE) y profesor de la Universidad Ramon Llull (URL), como conclusión de las XXIV Jornadas del Cable y la Banda Ancha en Cataluña, que se llevaron a cabo el 9 y 10 de abril de 2019 con gran éxito de público y contenidos en el Auditorio Blanquerna de Barcelona organizadas por CECABLE, Blanquerna-URL, Asociación Catalana de Operadores de Telecomunicaciones por Cable (Acotec) y Colegio Oficial de Ingenieros Técnicos de Telecomunicación de Cataluña (COETTC).</w:t>
            </w:r>
          </w:p>
          <w:p>
            <w:pPr>
              <w:ind w:left="-284" w:right="-427"/>
              <w:jc w:val="both"/>
              <w:rPr>
                <w:rFonts/>
                <w:color w:val="262626" w:themeColor="text1" w:themeTint="D9"/>
              </w:rPr>
            </w:pPr>
            <w:r>
              <w:t>“Se observa una acentuación en la necesidad de banda ancha garantizada a medida que los servicios ofrecidos al consumidor son más personalizados y sincrónicos”, explica Fondevila. “En el caso del HbbTV, la addressable TV supone anuncios customizados en función de hogares y usuarios, lo que exige un caudal constante y sin interrupciones sobre todo si el cliente interactúa con la marca”, expone el director del CECABLE. “En realidad aumentada y virtual, si se pretende generalizar una experiencia en línea también es necesaria la banda ancha garantizada”, matiza Fondevila.</w:t>
            </w:r>
          </w:p>
          <w:p>
            <w:pPr>
              <w:ind w:left="-284" w:right="-427"/>
              <w:jc w:val="both"/>
              <w:rPr>
                <w:rFonts/>
                <w:color w:val="262626" w:themeColor="text1" w:themeTint="D9"/>
              </w:rPr>
            </w:pPr>
            <w:r>
              <w:t>Las Jornadas estudiaron indicadores estratégicos de las telecomunicaciones, como los fundamentos en la evolución de la tecnología de banda ancha, la relación entre contenidos y receptor y los nuevos estándares del mercado. Joan Oliver (Wifidom) reflejó las ventajas de las soluciones wireless especialmente para zonas rurales. Dídac Querol (Telefónica) remarcó que la de España “es la red de fibra óptica más extensa de Europa”, y enfatizó el deseo del operador de cubrir todo el territorio con fibra óptica hasta el hogar (FTTH) en 2024. Narcís Coll (BT) remarcó que el balanceo entre computación y almacenamiento fluctúa entre el edge (el método más cercano), el fog y el cloud (el más lejano). David Andreu (Anxanet) subrayó el peso de la banda ancha y “la oportunidad de la fibra virtual” en zonas industriales y turísticas, mientras que Ramon Roca (Guifi.net) matizó que llegar a zonas rurales con fibra “no es tan caro como parece”. Ignacio Rojo (Phicus) reseñó las ventajas de un software específico de monitorización para operadores, Eduardo Meilán (RegionTel) la necesidad de proyectos end to end y Anselmo Trejo (D-Link) el crecimiento de las redes 10 Gigabit Ethernet.</w:t>
            </w:r>
          </w:p>
          <w:p>
            <w:pPr>
              <w:ind w:left="-284" w:right="-427"/>
              <w:jc w:val="both"/>
              <w:rPr>
                <w:rFonts/>
                <w:color w:val="262626" w:themeColor="text1" w:themeTint="D9"/>
              </w:rPr>
            </w:pPr>
            <w:r>
              <w:t>El HbbTV permitirá que la publicidad sea “más dirigible, interactiva y variada”, según Guillem Lahuerta (Sony). Xavi Redón (Cellnex) explicó que los retos de LovesTV se centran en mejorar las funcionalidades de la plataforma, disponer de más modelos de televisión compatibles y crear nuevos entornos interactivos fuera de la televisión lineal en LovesTV. La mesa redonda puso de manifiesto la fuerza del HbbTV. En este sentido, hay que distinguir entre programatic TV y addressable TV, ya que la programatic TV se centra en la automatización de los procesos entre anunciantes, agencias de medios y soportes, y la addressable TV distribuye en tiempo real, “lo que agudiza la necesidad de un flujo garantizado de datos”, apostilla Fondevila, para quien “los axiomas de la Sociedad de la Banda Ancha, la universalización y la garantía del servicio, se aplican idóneamente en HbbTV, oportunidad de interactividad en clave de proximidad, sobre todo para los operadores de cable tradicional”. Josep Rom (IntadTV) remarca las nuevas posibilidades de la televisión conectada “para mantener el vínculo entre publicidad y televisión”, y Xavier Edo (Acotec) afirma que “la televisión lineal se utiliza cada vez menos y crecen las plataformas alternativas”.</w:t>
            </w:r>
          </w:p>
          <w:p>
            <w:pPr>
              <w:ind w:left="-284" w:right="-427"/>
              <w:jc w:val="both"/>
              <w:rPr>
                <w:rFonts/>
                <w:color w:val="262626" w:themeColor="text1" w:themeTint="D9"/>
              </w:rPr>
            </w:pPr>
            <w:r>
              <w:t>Xavier Martín (CEBF, Connecting Europe Broadband Fund) expuso la necesidad de fondos para la expansión de la banda ancha. El fondo promovido por la Comisión Europea para apoyar emprendedores digitales en el desarrollo de redes de banda ultra-ancha dispone de 420 millones de euros para inversión en el desarrollo de nuevas redes neutras. Este fondo es uno de los instrumentos creados al amparo del “Plan Juncker” para el desarrollo de la estrategia europea de promoción de la Gigabit Society a través de la construcción de redes de fibra que lleguen a todos los rincones de Europa. “Son tan relevantes los grandes operadores nacionales y regionales como los más de 700 operadores locales que operan actualmente en España”, según Martín. A pesar de la gran penetración de redes de fibra en España, todavía existen más de cuatro millones de hogares sin cubrir (áreas geográficas desafiantes por su orografía, dispersión geográfica o renta disponible).</w:t>
            </w:r>
          </w:p>
          <w:p>
            <w:pPr>
              <w:ind w:left="-284" w:right="-427"/>
              <w:jc w:val="both"/>
              <w:rPr>
                <w:rFonts/>
                <w:color w:val="262626" w:themeColor="text1" w:themeTint="D9"/>
              </w:rPr>
            </w:pPr>
            <w:r>
              <w:t>La mesa redonda reflejó la evolución en la competencia en Cataluña y España en banda ancha, aunque ésta es mejorable. Fondevila destacó que “en función de las zonas geográficas la competencia varía, aunque para diferenciarse entre ellos y evitar el efecto commodity los operadores pueden jugar la carta del servicio garantizado”. Carles Salvadó (Generalitat de Cataluña) indicó que “el 78% de catalanes pueden acceder a Internet al menos a 30 Mbps, pero 1,7 millones de catalanes no alcanzan esa velocidad mínima”. Guillermo Canal (Feceminte) subrayó que “muchos instaladores están actuando como operadores”. Carles Sabaté (Telecos.cat) consideró que “la competencia actual no es la más adecuada”. Virginia Rodríguez (CNMC) admitió que “la competencia no es perfecta, porque en ese caso no existiría el regulador, aunque el mercado es muy dinámico”. Carles Viladecans (Xarxa Oberta de Catalunya) remarcó que numerosos operadores están conectados a su red neutra, lo que “abre la vía a más competencia”.</w:t>
            </w:r>
          </w:p>
          <w:p>
            <w:pPr>
              <w:ind w:left="-284" w:right="-427"/>
              <w:jc w:val="both"/>
              <w:rPr>
                <w:rFonts/>
                <w:color w:val="262626" w:themeColor="text1" w:themeTint="D9"/>
              </w:rPr>
            </w:pPr>
            <w:r>
              <w:t>El evento forma parte del proyecto “Nuevas Formas de Publicidad Interactiva en Televisión, Internet y los Medios Digitales. Aplicaciones Reales en HbbTV” (URL, Cellnex, CECABLE e IntadTV), financiado por el Ministerio de Economía, Industria y Competitividad. Además de la URL, colaboraron en las Jornadas la Universidad Pompeu Fabra (UPF), la Escuela Universitaria Mediterrani de la Universidad de Girona, la Universidad de Barcelona, ​​la Universidad Autónoma de Barcelona, ​​la Universitat Oberta de Cataluña, la Universidad Camilo José Cela, EAE Business School, Centro Universitario Cesine, Euncet y la Universidad Politécnica de Cataluña.</w:t>
            </w:r>
          </w:p>
          <w:p>
            <w:pPr>
              <w:ind w:left="-284" w:right="-427"/>
              <w:jc w:val="both"/>
              <w:rPr>
                <w:rFonts/>
                <w:color w:val="262626" w:themeColor="text1" w:themeTint="D9"/>
              </w:rPr>
            </w:pPr>
            <w:r>
              <w:t>Además de las universidades y Acotec, en el evento participan y colaboran la Generalitat de Cataluña, Club de Marketing Barcelona, ​​Colegio de Ingenieros Graduados e Ingenieros Técnicos Industriales de Barcelona (CETIB), Asociación Catalana de Ingenieros de Telecomunicación (Telecos.cat), Colegio de Ingenierías Técnicas y Grado en Ingeniería Informática de Cataluña (COETIC), GrausTIC, Comisión Nacional de los Mercados y la Competencia (CNMC), Federación Catalana de Empresarios Instaladores de Telecomunicaciones (Feceminte), Federación Coordinadora de Telecomunicaciones (FECOTEL), Federación Nacional de Empresarios de Instalaciones de España (Fenie), Federación Nacional de Instaladores e Integradores de Telecomunicaciones (FENITEL), Barcelona Digital Centro Tecnológico, TIC.CAT, Red.es, Localret, Asociación Nacional de Operadores de Telecomunicaciones y Servicios de Internet (AOTEC), Asociación Nacional de Empresas de Internet (ANEI), Asociación para el Progreso de la Dirección (APD), Asociación Catalana de Tecnología (ACTec), Asociación de Técnicos de Informática (ATI), Asociación de Empresas Operadoras y de Servicios de Telecomunicaciones (Astel), CTecno, Parque Tecnológico del Vallés (PTV), Centro Nacional de Referencia de Aplicación de las Tecnologías de la Información y la Comunicación TIC (CENATIC), Ilimit, e-deon, Dopuo, International Association of Technology, Education and Development (IATED), Plataforma FOTÓNICA21 o Sociedad Catalana de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https://www.notasdeprensa.es/el-hbbtv-y-la-realidad-aumentada-y-virtual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