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fisioterapeuta refuerza las terapias para combatir las dificultades de los pacientes con autismo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Mundial de la Concienciación sobre el Autismo, que tendrá lugar el día 2 de abril, el CGCFE se une al movimiento asociativo del autismo con el objetivo de adquirir un compromiso firme en la eliminación de barreras para las personas con Trastorno del Espectro del Autismo (TEA)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Mundial de la Concienciación sobre el Autismo, el CGCFE pone de manifiesto su adhesión al movimiento asociativo del autismo en España y Europa, cuyos representantes han hecho un llamamiento para “adquirir un compromiso firme en la eliminación de las muchas barreras que todavía impiden a las personas con Trastorno del Espectro del Autismo (TEA), a disfrutar de sus plenos derechos”.</w:t>
            </w:r>
          </w:p>
          <w:p>
            <w:pPr>
              <w:ind w:left="-284" w:right="-427"/>
              <w:jc w:val="both"/>
              <w:rPr>
                <w:rFonts/>
                <w:color w:val="262626" w:themeColor="text1" w:themeTint="D9"/>
              </w:rPr>
            </w:pPr>
            <w:r>
              <w:t>El lema de la campaña de sensibilización de este año se centra especialmente en la accesibilidad, llevando el título de  and #39;Rompamos juntos barreras por el Autismo. Hagamos una sociedad accesible and #39;.</w:t>
            </w:r>
          </w:p>
          <w:p>
            <w:pPr>
              <w:ind w:left="-284" w:right="-427"/>
              <w:jc w:val="both"/>
              <w:rPr>
                <w:rFonts/>
                <w:color w:val="262626" w:themeColor="text1" w:themeTint="D9"/>
              </w:rPr>
            </w:pPr>
            <w:r>
              <w:t>La labor del fisioterapeuta es fundamental para las personas afectadas, como profesional que colabora en las terapias e intervenciones conductuales, tanto a nivel individual como de grupo. Las terapias psicomotoras son una vía de refuerzo para combatir las dificultades motoras y sociales como, por ejemplo, la participación en actividades de hidroterapia, musicoterapia y cualquier otra intervención que suponga una ayuda a mejorar las habilidades de estos pacientes, tanto a nivel físico, como social.</w:t>
            </w:r>
          </w:p>
          <w:p>
            <w:pPr>
              <w:ind w:left="-284" w:right="-427"/>
              <w:jc w:val="both"/>
              <w:rPr>
                <w:rFonts/>
                <w:color w:val="262626" w:themeColor="text1" w:themeTint="D9"/>
              </w:rPr>
            </w:pPr>
            <w:r>
              <w:t>Consejo General de Colegios de Fisioterapeutas de EspañaEl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https://www.notasdeprensa.es/el-fisioterapeuta-refuerza-las-terapias-para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Investigación Científica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