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se posiciona ante la regulación de las pseudoterapias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Comunicado del CGCFE ante el Plan de Protección de la Salud frente a las Pseudoterapias, del Ministerio de Sanidad, Consumo y Bienestar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situación planteada en relación con el Plan de Protección de la Salud frente a las Pseudoterapias, presentado a iniciativa del Ministerio de Sanidad, Consumo y Bienestar Social, así como su intención de regular estas materias, el Consejo General de Colegios de Fisioterapeutas de España manifiesta que:</w:t>
            </w:r>
          </w:p>
          <w:p>
            <w:pPr>
              <w:ind w:left="-284" w:right="-427"/>
              <w:jc w:val="both"/>
              <w:rPr>
                <w:rFonts/>
                <w:color w:val="262626" w:themeColor="text1" w:themeTint="D9"/>
              </w:rPr>
            </w:pPr>
            <w:r>
              <w:t>"Sólo y exclusivamente acogerá en su seno competencial, aquellos procedimientos con plausibilidad biológica y orientación terapéutica relacionados con nuestra disciplina, según nuestras normas jurídicas aplicables y que presenten evidencia científica en el mismo nivel que el exigido para el resto de los métodos, procedimientos y técnicas que conforman nuestro cuerpo de conocimientos, garantizando la seguridad y su utilización sin riesgos para la salud del ciudadano".</w:t>
            </w:r>
          </w:p>
          <w:p>
            <w:pPr>
              <w:ind w:left="-284" w:right="-427"/>
              <w:jc w:val="both"/>
              <w:rPr>
                <w:rFonts/>
                <w:color w:val="262626" w:themeColor="text1" w:themeTint="D9"/>
              </w:rPr>
            </w:pPr>
            <w:r>
              <w:t>"Esperamos que pronto seamos convocados por dicho Ministerio para debatir y poder trasladar nuestros planteamientos, tal y como está previsto".</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54.000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Para más información profesional sobre la Fisioterapia, pueden contactar a través de la página web del Consejo General de Colegios de Fisioterapeutas de España (CGCFE)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https://www.notasdeprensa.es/el-cgcfe-se-posiciona-ante-la-regulacion-de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