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celebra su Asamblea General Ordinaria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Asamblea se trataron líneas estratégicas a seguir en el próximo año, destacando las futuras especialidades en fisioterapia, el desarrollo del decreto de prescripción en Fisioterapia, el desarrollo de las competencias profesionales y otras demandas y retos que la disciplina tiene 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día 18 de noviembre ha tenido lugar en Madrid la Asamblea General Ordinaria del Consejo General de Colegios de Fisioterapeutas de España (CGCFE) , con la participación de los representantes de los 17 Colegios Autonómicos de Fisioterapeutas de España. El tema central de dicha Asamblee ha sido la presentación de presupuestos, el debate y la aprobación de los mismos, que fue aprobado por mayoría. En la presentación de los mismos, se destacó la mejor optimización de los recursos realizada, en relación a los años anteriores y se presentaron diferentes proyectos con implicación financiera, que fueron asimismo aprobados.</w:t>
            </w:r>
          </w:p>
          <w:p>
            <w:pPr>
              <w:ind w:left="-284" w:right="-427"/>
              <w:jc w:val="both"/>
              <w:rPr>
                <w:rFonts/>
                <w:color w:val="262626" w:themeColor="text1" w:themeTint="D9"/>
              </w:rPr>
            </w:pPr>
            <w:r>
              <w:t>Por otro lado, durante la Asamblea se trataron líneas estratégicas a seguir en el próximo año 2018, destacando las futuras especialidades en fisioterapia, el desarrollo del decreto de prescripción en Fisioterapia, el desarrollo de las competencias profesionales y otras demandas y retos que la disciplina tiene pendientes.</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https://www.notasdeprensa.es/el-cgcfe-celebra-su-asamblea-general-ordinaria_1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