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'Brexit' compromete a la industria del juego online de Gibraltar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2014 el sector del juego online en Gibraltar generó unos beneficios brutos de 30.000 millones de euros y más de 35 empresas de este sector han situado su sede en Gibraltar por los atractivos fiscales que ofrece. Tras la salida de Reino Unido de la Unión Europea es necesario tener en cuenta el nuevo panorama. Foster Swiss, consultora financiera internacional especializada en la gestión de licencias de juego y de casino online, nos desvelará el nuevo panorama en el sector del juego en Reino Unido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24 de junio, tras los resultados del referéndum en Reino Unido ha hecho reflexionar de manera precipitada en todas las consecuencias de la decisión tomada por los británicos. Uno de los temas más planteados en el terreno público ha sido y es el sector del juego online, un sector que se va a ver afectado por la salida del Reino Unido de la Unión Europea o más conocido como  and #39;Brexit and #39;. Si desea saber más información, consulte con Foster Swiss, consultores financieros y fiscales expertos en más de 40 jurisdicciones de todo el mundo.</w:t>
            </w:r>
          </w:p>
          <w:p>
            <w:pPr>
              <w:ind w:left="-284" w:right="-427"/>
              <w:jc w:val="both"/>
              <w:rPr>
                <w:rFonts/>
                <w:color w:val="262626" w:themeColor="text1" w:themeTint="D9"/>
              </w:rPr>
            </w:pPr>
            <w:r>
              <w:t>Puesto que el Reino Unido ha decidido salir del club europeo, un proceso que se llevará a cabo de aquí a dos años, la tributación y la liquidez del sector del juego online se verán afectadas. Es posible que muchos operadores decidan trasladar su negocio a otro territorio más favorable o algún país de la Unión Europea para garantizar su estabilidad.</w:t>
            </w:r>
          </w:p>
          <w:p>
            <w:pPr>
              <w:ind w:left="-284" w:right="-427"/>
              <w:jc w:val="both"/>
              <w:rPr>
                <w:rFonts/>
                <w:color w:val="262626" w:themeColor="text1" w:themeTint="D9"/>
              </w:rPr>
            </w:pPr>
            <w:r>
              <w:t>Reino Unido, una jurisdicción con un potente sector de juego onlineActualmente, Reino Unido posee seis jurisdicciones con sus correspondientes instituciones reguladoras que ofrecen licencias de juego online.</w:t>
            </w:r>
          </w:p>
          <w:p>
            <w:pPr>
              <w:ind w:left="-284" w:right="-427"/>
              <w:jc w:val="both"/>
              <w:rPr>
                <w:rFonts/>
                <w:color w:val="262626" w:themeColor="text1" w:themeTint="D9"/>
              </w:rPr>
            </w:pPr>
            <w:r>
              <w:t>1. La Comisión de Juego del Reino Unido (UKGC)</w:t>
            </w:r>
          </w:p>
          <w:p>
            <w:pPr>
              <w:ind w:left="-284" w:right="-427"/>
              <w:jc w:val="both"/>
              <w:rPr>
                <w:rFonts/>
                <w:color w:val="262626" w:themeColor="text1" w:themeTint="D9"/>
              </w:rPr>
            </w:pPr>
            <w:r>
              <w:t>2. La Autoridad Reguladora de Gibraltar (GRA)</w:t>
            </w:r>
          </w:p>
          <w:p>
            <w:pPr>
              <w:ind w:left="-284" w:right="-427"/>
              <w:jc w:val="both"/>
              <w:rPr>
                <w:rFonts/>
                <w:color w:val="262626" w:themeColor="text1" w:themeTint="D9"/>
              </w:rPr>
            </w:pPr>
            <w:r>
              <w:t>3. La Comisión de Control del Juego de Alderney (AGCC)</w:t>
            </w:r>
          </w:p>
          <w:p>
            <w:pPr>
              <w:ind w:left="-284" w:right="-427"/>
              <w:jc w:val="both"/>
              <w:rPr>
                <w:rFonts/>
                <w:color w:val="262626" w:themeColor="text1" w:themeTint="D9"/>
              </w:rPr>
            </w:pPr>
            <w:r>
              <w:t>4. La Comisión de Supervisión del Juego de la Isla de Man</w:t>
            </w:r>
          </w:p>
          <w:p>
            <w:pPr>
              <w:ind w:left="-284" w:right="-427"/>
              <w:jc w:val="both"/>
              <w:rPr>
                <w:rFonts/>
                <w:color w:val="262626" w:themeColor="text1" w:themeTint="D9"/>
              </w:rPr>
            </w:pPr>
            <w:r>
              <w:t>5. La Comisión del Juego de Jersey</w:t>
            </w:r>
          </w:p>
          <w:p>
            <w:pPr>
              <w:ind w:left="-284" w:right="-427"/>
              <w:jc w:val="both"/>
              <w:rPr>
                <w:rFonts/>
                <w:color w:val="262626" w:themeColor="text1" w:themeTint="D9"/>
              </w:rPr>
            </w:pPr>
            <w:r>
              <w:t>6. La Comisión de Control de Juego de Guernsey</w:t>
            </w:r>
          </w:p>
          <w:p>
            <w:pPr>
              <w:ind w:left="-284" w:right="-427"/>
              <w:jc w:val="both"/>
              <w:rPr>
                <w:rFonts/>
                <w:color w:val="262626" w:themeColor="text1" w:themeTint="D9"/>
              </w:rPr>
            </w:pPr>
            <w:r>
              <w:t>De todos ellos, la Comisión de Juego del Reino Unido (UKGC) y las autoridades de Gibraltar y la Isla de Man ocupan un papel predominante. Sin embargo, Alderney ha llegado a acumular un gran número de licencias expedidas. No hay que olvidar que el Reino Unido posee 12 territorios de ultramar como las Bermudas que tienen su propio organismo regulador.</w:t>
            </w:r>
          </w:p>
          <w:p>
            <w:pPr>
              <w:ind w:left="-284" w:right="-427"/>
              <w:jc w:val="both"/>
              <w:rPr>
                <w:rFonts/>
                <w:color w:val="262626" w:themeColor="text1" w:themeTint="D9"/>
              </w:rPr>
            </w:pPr>
            <w:r>
              <w:t>Obtención de la licenciaPara poder llevar a cabo este tipo de actividad, las leyes británicas instan a que los operadores de juegos de azar y apuestas online que quieran operar deben solicitar la correspondiente licencia a la UKGC. Éstas tributan a un 15% en el impuesto de consumo sobre todos los ingresos que obtengan de clientes británicos. Todos ellos, juegan en el mismo espacio de intercambio de liquidez del mundo pudiendo acceder a los premios más importantes disponibles en línea.</w:t>
            </w:r>
          </w:p>
          <w:p>
            <w:pPr>
              <w:ind w:left="-284" w:right="-427"/>
              <w:jc w:val="both"/>
              <w:rPr>
                <w:rFonts/>
                <w:color w:val="262626" w:themeColor="text1" w:themeTint="D9"/>
              </w:rPr>
            </w:pPr>
            <w:r>
              <w:t>¿Qué va a pasar tras el  and #39;Brexit and #39;?La salida del Reino Unido de la Unión no afectará de manera inmediata a las regulaciones de este sector ni tampoco a los lugares donde los británicos pueden jugar.  Sin embargo, muchos operadores como Bet365 podrían reconsiderar su ubicación. Después de que en 2005 se aprobase la Ley del Juego casi todas las empresas de juego y apuestas online abandonaron el país para librarse de las nuevas obligaciones fiscales. Una de las empresas que permaneció fue Bet365 ubicada en Stoke on Trent y que ofrece una gran cantidad de empleos directos e indirectos a la región. Más tarde, las autoridades británicas aprobaron nuevas leyes en 2014 con la intención de relocalizar las empresas que habían dejado el país 10 años antes sin éxito.</w:t>
            </w:r>
          </w:p>
          <w:p>
            <w:pPr>
              <w:ind w:left="-284" w:right="-427"/>
              <w:jc w:val="both"/>
              <w:rPr>
                <w:rFonts/>
                <w:color w:val="262626" w:themeColor="text1" w:themeTint="D9"/>
              </w:rPr>
            </w:pPr>
            <w:r>
              <w:t>El ‘Brexit’ puede agravar el problema ya que toda la normativa europea sobre juego online especifica que aquellos que quieran solicitar una licencia deberán ser empresas comunitarias pertenecientes a la Unión Europea o al Espacio Económico Europeo. Esto puede provocar que empresas como Bet365 puedan reconsiderar su ubicación.</w:t>
            </w:r>
          </w:p>
          <w:p>
            <w:pPr>
              <w:ind w:left="-284" w:right="-427"/>
              <w:jc w:val="both"/>
              <w:rPr>
                <w:rFonts/>
                <w:color w:val="262626" w:themeColor="text1" w:themeTint="D9"/>
              </w:rPr>
            </w:pPr>
            <w:r>
              <w:t>Gibraltar, centro europeo del juego online¿Cuál fue el principal destino de las empresas de juego online durante 2005? La respuesta es Gibraltar. El Peñón, situado en el extremo sur de la Península Ibérica, se ha convertido en una gran jurisdicción en lo que a juegos de azar en línea se refiere. Cuenta con 25 salas de póker que operan a nivel europeo como 888póker o PartyPóker.</w:t>
            </w:r>
          </w:p>
          <w:p>
            <w:pPr>
              <w:ind w:left="-284" w:right="-427"/>
              <w:jc w:val="both"/>
              <w:rPr>
                <w:rFonts/>
                <w:color w:val="262626" w:themeColor="text1" w:themeTint="D9"/>
              </w:rPr>
            </w:pPr>
            <w:r>
              <w:t>Aunque Gibraltar no es un estado de pleno derecho de la Unión Europea, se beneficia de ciertas ventajas fiscales debido al libre comercio. Así mismo, algunos tratados europeos no son aplicables en Gibraltar por lo que están fuera de la Unión aduanera y exentos de IVA.</w:t>
            </w:r>
          </w:p>
          <w:p>
            <w:pPr>
              <w:ind w:left="-284" w:right="-427"/>
              <w:jc w:val="both"/>
              <w:rPr>
                <w:rFonts/>
                <w:color w:val="262626" w:themeColor="text1" w:themeTint="D9"/>
              </w:rPr>
            </w:pPr>
            <w:r>
              <w:t>Foster Swiss, consultora financiera internacional gestionará de manera eficaz la solicitud de su licencia de juego online en la jurisdicción que mejor se adapte a su negocio. Importantes casos de éxito nos avalan desde el licenciamiento y constitución de la estructura mercantil y fiscal a gestiones relativas a pasarelas de pago virtuales o cuentas merchant.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https://www.notasdeprensa.es/el-brexit-compromete-a-la-industria-del-juego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Juegos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