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ofrece su nuevo servicio de recogida y envío de muestras a laboratorios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Insight dispone desde ahora de la capacidad de recoger y enviar muestras como parte de su servicio de ensayos de laboratorio para garantizar la seguridad de embalaje y entrega.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Insight la línea de negocio de DEKRA especializada en seguridad industrial y de procesos, dispone desde ahora de la capacidad de recoger y enviar muestras como parte de su servicio de ensayos de laboratorio. Se garantiza, de esta forma, el envío en las máximas condiciones de calidad y seguridad a de las muestras a sus laboratorios. Obviamente, se incluye el envío de mercancías peligrosas (ADR, IATA) en caso de ser necesario.</w:t>
            </w:r>
          </w:p>
          <w:p>
            <w:pPr>
              <w:ind w:left="-284" w:right="-427"/>
              <w:jc w:val="both"/>
              <w:rPr>
                <w:rFonts/>
                <w:color w:val="262626" w:themeColor="text1" w:themeTint="D9"/>
              </w:rPr>
            </w:pPr>
            <w:r>
              <w:t>DEKRA Insight puede suministrar también el embalaje homologado adecuado a cada tipo de muestra, y de esta forma DEKRA Insight logra ofrecer un paquete completo de servicios para facilidad y comodidad de sus clientes que, a partir de ahora, podrán dejarlo todo en sus manos y olvidarse de innecesarias gestiones con interlocutores externos.</w:t>
            </w:r>
          </w:p>
          <w:p>
            <w:pPr>
              <w:ind w:left="-284" w:right="-427"/>
              <w:jc w:val="both"/>
              <w:rPr>
                <w:rFonts/>
                <w:color w:val="262626" w:themeColor="text1" w:themeTint="D9"/>
              </w:rPr>
            </w:pPr>
            <w:r>
              <w:t>Para mayor información sobre este nuevo servicio o sobre el extenso catálogo de ensayos de laboratorio de DEKRA Insight, no dude en contactarnos aquí</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https://www.notasdeprensa.es/dekra-ofrece-su-nuevo-servicio-de-recogida-y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