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riesgos que pueden acabar con el éxito de una empresa,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morosidad amenaza la viabilidad del 30% de las pymes españolas. Los expertos de Intrum, compañía líder en prevención y gestión de impagos, alertan del endeudamiento en que pueden derivar algunas medidas de financiación a corto plazo o los créditos en otras divisas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una empresa tenga éxito es imprescindible llevar un control de su situación financiera. Por ello, lo último que quiere encontrarse una empresa en su camino son deudas, especialmente cuando se trata de una pyme. A pesar de ser el motor de crecimiento de la economía mundial, las empresas con menos de 250 trabajadores se enfrentan a grandes desafíos para mantener sus cuentas en positivo. Uno de los más importantes es el retraso en los pagos.</w:t>
            </w:r>
          </w:p>
          <w:p>
            <w:pPr>
              <w:ind w:left="-284" w:right="-427"/>
              <w:jc w:val="both"/>
              <w:rPr>
                <w:rFonts/>
                <w:color w:val="262626" w:themeColor="text1" w:themeTint="D9"/>
              </w:rPr>
            </w:pPr>
            <w:r>
              <w:t>El último Informe Europeo de Pagos, elaborado por Intrum, compañía líder en prevención y gestión de impagos, señala que la morosidad amenaza la viabilidad del 30% de las pymes españolas. De hecho, el informe muestra que 4 de cada 10 empresas teme que el retraso en los pagos tenga un impacto negativo en su liquidez y el 30% alerta que esta situación pone en peligro su crecimiento.</w:t>
            </w:r>
          </w:p>
          <w:p>
            <w:pPr>
              <w:ind w:left="-284" w:right="-427"/>
              <w:jc w:val="both"/>
              <w:rPr>
                <w:rFonts/>
                <w:color w:val="262626" w:themeColor="text1" w:themeTint="D9"/>
              </w:rPr>
            </w:pPr>
            <w:r>
              <w:t>Asimismo, una cuarta parte de las organizaciones asevera que de recibir sus pagos a tiempo podría contratar a más profesionales, mientras que el 39% asegura ver reducidos sus ingresos como consecuencia de la morosidad.</w:t>
            </w:r>
          </w:p>
          <w:p>
            <w:pPr>
              <w:ind w:left="-284" w:right="-427"/>
              <w:jc w:val="both"/>
              <w:rPr>
                <w:rFonts/>
                <w:color w:val="262626" w:themeColor="text1" w:themeTint="D9"/>
              </w:rPr>
            </w:pPr>
            <w:r>
              <w:t>Además, si bien los retrasos en los pagos que afrontan muchas pymes españolas es uno de los principales riesgos que puede echar por tierra el éxito de un negocio, los expertos de Intrum han identificado otras tres obligaciones de pago que las compañías deben tener en cuenta en su balance empresarial para evitar que la compañía atraviese dificultades financieras. La segunda de ellas es la  financiación a corto plazo. Uno de los errores más comunes de las organizaciones es financiar proyectos de largo plazo con instrumentos cortoplacistas. Con ello, se corre el riesgo de tener que amortizar el préstamo antes de que la inversión en sí haya comenzado a dar sus frutos, creando graves problemas de liquidez en la compañía.</w:t>
            </w:r>
          </w:p>
          <w:p>
            <w:pPr>
              <w:ind w:left="-284" w:right="-427"/>
              <w:jc w:val="both"/>
              <w:rPr>
                <w:rFonts/>
                <w:color w:val="262626" w:themeColor="text1" w:themeTint="D9"/>
              </w:rPr>
            </w:pPr>
            <w:r>
              <w:t>Orto de los asuntos a los que hay que prestar atención son los plazos y deudas domiciliadas. Son las denominadas deudas ‘gota a gota’, es decir, aquellas que se pagan poco a poco. En esta opción, que en algunos casos puede resultar atractiva para la empresa, se deben tener muy en cuenta los intereses derivados de este tipo de financiación, ya que podrían superar al capital.</w:t>
            </w:r>
          </w:p>
          <w:p>
            <w:pPr>
              <w:ind w:left="-284" w:right="-427"/>
              <w:jc w:val="both"/>
              <w:rPr>
                <w:rFonts/>
                <w:color w:val="262626" w:themeColor="text1" w:themeTint="D9"/>
              </w:rPr>
            </w:pPr>
            <w:r>
              <w:t>Y por último, solicitar créditos en otras divisas. Estos productos, indicados principalmente para empresas que realizan operaciones de importación o exportación de bienes y/o servicios, tienen como objetivo conseguir una financiación más económica que la que se obtendría solicitando el préstamo en euros. No obstante, sus riesgos son elevados, pues las divisas elegidas (dólares, francos suizos o yenes, normalmente) cotizan diariamente en el mercado y sus cuotas pueden oscilar bruscamente a lo largo del tiempo. Por esta razón, exigen un mayor seguimiento por parte de la empresa titular.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https://www.notasdeprensa.es/cuatro-riesgos-que-pueden-acabar-con-el-exito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