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Criteo aumenta su EBITDA ajustado un 4% hasta alcanzar los 321 $millones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Criteo, la plataforma publicitaria de referencia para un Internet abierto, ha dado a conocer hoy el informe con los resultados financieros del cuarto trimestre que finalizó el 31 de diciembre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datos clave del cuarto trimestre de 2018 (comparados con el cuarto trimestre del ejercicio anterior, 2017):</w:t>
            </w:r>
          </w:p>
          <w:p>
            <w:pPr>
              <w:ind w:left="-284" w:right="-427"/>
              <w:jc w:val="both"/>
              <w:rPr>
                <w:rFonts/>
                <w:color w:val="262626" w:themeColor="text1" w:themeTint="D9"/>
              </w:rPr>
            </w:pPr>
            <w:r>
              <w:t>Los ingresos han disminuido un 1%, alcanzando los 670 millones de dólares.</w:t>
            </w:r>
          </w:p>
          <w:p>
            <w:pPr>
              <w:ind w:left="-284" w:right="-427"/>
              <w:jc w:val="both"/>
              <w:rPr>
                <w:rFonts/>
                <w:color w:val="262626" w:themeColor="text1" w:themeTint="D9"/>
              </w:rPr>
            </w:pPr>
            <w:r>
              <w:t>Los ingresos que excluyen los Costes de Adquisición de Tráfico, o los Ingresos ex-TAC, han disminuido un 2% a 272 millones de dólares, o 41% de los ingresos.</w:t>
            </w:r>
          </w:p>
          <w:p>
            <w:pPr>
              <w:ind w:left="-284" w:right="-427"/>
              <w:jc w:val="both"/>
              <w:rPr>
                <w:rFonts/>
                <w:color w:val="262626" w:themeColor="text1" w:themeTint="D9"/>
              </w:rPr>
            </w:pPr>
            <w:r>
              <w:t>El EBITDA ajustado ha disminuido un 13% hasta alcanzar los 105 millones de dólares, o 39% de los ingresos ex-TAC.</w:t>
            </w:r>
          </w:p>
          <w:p>
            <w:pPr>
              <w:ind w:left="-284" w:right="-427"/>
              <w:jc w:val="both"/>
              <w:rPr>
                <w:rFonts/>
                <w:color w:val="262626" w:themeColor="text1" w:themeTint="D9"/>
              </w:rPr>
            </w:pPr>
            <w:r>
              <w:t>El cash flow de las actividades operativas ha presentado un crecimiento interanual del 8% hasta alcanzar los 86 millones de dólares.</w:t>
            </w:r>
          </w:p>
          <w:p>
            <w:pPr>
              <w:ind w:left="-284" w:right="-427"/>
              <w:jc w:val="both"/>
              <w:rPr>
                <w:rFonts/>
                <w:color w:val="262626" w:themeColor="text1" w:themeTint="D9"/>
              </w:rPr>
            </w:pPr>
            <w:r>
              <w:t>El Free Cash Flow ha disminuido un 25%, alcanzado los 40 millones de dólares.</w:t>
            </w:r>
          </w:p>
          <w:p>
            <w:pPr>
              <w:ind w:left="-284" w:right="-427"/>
              <w:jc w:val="both"/>
              <w:rPr>
                <w:rFonts/>
                <w:color w:val="262626" w:themeColor="text1" w:themeTint="D9"/>
              </w:rPr>
            </w:pPr>
            <w:r>
              <w:t>La utilidad neta ha disminuido un 20% hasta llegar a los 42 millones de dólares.</w:t>
            </w:r>
          </w:p>
          <w:p>
            <w:pPr>
              <w:ind w:left="-284" w:right="-427"/>
              <w:jc w:val="both"/>
              <w:rPr>
                <w:rFonts/>
                <w:color w:val="262626" w:themeColor="text1" w:themeTint="D9"/>
              </w:rPr>
            </w:pPr>
            <w:r>
              <w:t>El ingreso neto ajustado ha disminuido un 31% hasta llegar a los 56 millones de dólares, o los 0.84 dólares por acción diluida.</w:t>
            </w:r>
          </w:p>
          <w:p>
            <w:pPr>
              <w:ind w:left="-284" w:right="-427"/>
              <w:jc w:val="both"/>
              <w:rPr>
                <w:rFonts/>
                <w:color w:val="262626" w:themeColor="text1" w:themeTint="D9"/>
              </w:rPr>
            </w:pPr>
            <w:r>
              <w:t>Algunos datos clave para el año fiscal 2018 (comparados con el año fiscal anterior, 2017):</w:t>
            </w:r>
          </w:p>
          <w:p>
            <w:pPr>
              <w:ind w:left="-284" w:right="-427"/>
              <w:jc w:val="both"/>
              <w:rPr>
                <w:rFonts/>
                <w:color w:val="262626" w:themeColor="text1" w:themeTint="D9"/>
              </w:rPr>
            </w:pPr>
            <w:r>
              <w:t>Los ingresos han crecido un 0.2%, alcanzando los 2,300 millones de dólares.</w:t>
            </w:r>
          </w:p>
          <w:p>
            <w:pPr>
              <w:ind w:left="-284" w:right="-427"/>
              <w:jc w:val="both"/>
              <w:rPr>
                <w:rFonts/>
                <w:color w:val="262626" w:themeColor="text1" w:themeTint="D9"/>
              </w:rPr>
            </w:pPr>
            <w:r>
              <w:t>Los ingresos ex-TAC han crecido un 3% hasta llegar a los 966 millones de dólares, o el 42% de los ingresos.</w:t>
            </w:r>
          </w:p>
          <w:p>
            <w:pPr>
              <w:ind w:left="-284" w:right="-427"/>
              <w:jc w:val="both"/>
              <w:rPr>
                <w:rFonts/>
                <w:color w:val="262626" w:themeColor="text1" w:themeTint="D9"/>
              </w:rPr>
            </w:pPr>
            <w:r>
              <w:t>El EBITDA ajustado ha crecido un 4% hasta alcanzar los 321 millones de dólares, o 33% de los ingresos ex-TAC.</w:t>
            </w:r>
          </w:p>
          <w:p>
            <w:pPr>
              <w:ind w:left="-284" w:right="-427"/>
              <w:jc w:val="both"/>
              <w:rPr>
                <w:rFonts/>
                <w:color w:val="262626" w:themeColor="text1" w:themeTint="D9"/>
              </w:rPr>
            </w:pPr>
            <w:r>
              <w:t>El cash flow de las actividades operativas ha crecido un 6% hasta llegar a los 261 millones de dólares.</w:t>
            </w:r>
          </w:p>
          <w:p>
            <w:pPr>
              <w:ind w:left="-284" w:right="-427"/>
              <w:jc w:val="both"/>
              <w:rPr>
                <w:rFonts/>
                <w:color w:val="262626" w:themeColor="text1" w:themeTint="D9"/>
              </w:rPr>
            </w:pPr>
            <w:r>
              <w:t>El Free Cash Flow ha alcanzado los 135 millones de dólares.</w:t>
            </w:r>
          </w:p>
          <w:p>
            <w:pPr>
              <w:ind w:left="-284" w:right="-427"/>
              <w:jc w:val="both"/>
              <w:rPr>
                <w:rFonts/>
                <w:color w:val="262626" w:themeColor="text1" w:themeTint="D9"/>
              </w:rPr>
            </w:pPr>
            <w:r>
              <w:t>La utilidad neta ha disminuido un 1% hasta alcanzar los 96 millones de dólares.</w:t>
            </w:r>
          </w:p>
          <w:p>
            <w:pPr>
              <w:ind w:left="-284" w:right="-427"/>
              <w:jc w:val="both"/>
              <w:rPr>
                <w:rFonts/>
                <w:color w:val="262626" w:themeColor="text1" w:themeTint="D9"/>
              </w:rPr>
            </w:pPr>
            <w:r>
              <w:t>El ingreso neto ajustado por acción diluida ha disminuido un 8% hasta llegar a los 2.49 dólares.</w:t>
            </w:r>
          </w:p>
          <w:p>
            <w:pPr>
              <w:ind w:left="-284" w:right="-427"/>
              <w:jc w:val="both"/>
              <w:rPr>
                <w:rFonts/>
                <w:color w:val="262626" w:themeColor="text1" w:themeTint="D9"/>
              </w:rPr>
            </w:pPr>
            <w:r>
              <w:t>Pronóstico para el primer trimestre del 2019:</w:t>
            </w:r>
          </w:p>
          <w:p>
            <w:pPr>
              <w:ind w:left="-284" w:right="-427"/>
              <w:jc w:val="both"/>
              <w:rPr>
                <w:rFonts/>
                <w:color w:val="262626" w:themeColor="text1" w:themeTint="D9"/>
              </w:rPr>
            </w:pPr>
            <w:r>
              <w:t>Criteo espera aumentar los ingresos ex-TAC entre los 233 y 235 millones de dólares.</w:t>
            </w:r>
          </w:p>
          <w:p>
            <w:pPr>
              <w:ind w:left="-284" w:right="-427"/>
              <w:jc w:val="both"/>
              <w:rPr>
                <w:rFonts/>
                <w:color w:val="262626" w:themeColor="text1" w:themeTint="D9"/>
              </w:rPr>
            </w:pPr>
            <w:r>
              <w:t>Criteo espera que el EBITDA ajustado esté entre los 59 y 61 millones de dólares.</w:t>
            </w:r>
          </w:p>
          <w:p>
            <w:pPr>
              <w:ind w:left="-284" w:right="-427"/>
              <w:jc w:val="both"/>
              <w:rPr>
                <w:rFonts/>
                <w:color w:val="262626" w:themeColor="text1" w:themeTint="D9"/>
              </w:rPr>
            </w:pPr>
            <w:r>
              <w:t>Pronóstico fiscal para el resto del año:</w:t>
            </w:r>
          </w:p>
          <w:p>
            <w:pPr>
              <w:ind w:left="-284" w:right="-427"/>
              <w:jc w:val="both"/>
              <w:rPr>
                <w:rFonts/>
                <w:color w:val="262626" w:themeColor="text1" w:themeTint="D9"/>
              </w:rPr>
            </w:pPr>
            <w:r>
              <w:t>Criteo espera aumentar entre un 3% y un 6% los ingresos ex-TAC para este año fiscal.</w:t>
            </w:r>
          </w:p>
          <w:p>
            <w:pPr>
              <w:ind w:left="-284" w:right="-427"/>
              <w:jc w:val="both"/>
              <w:rPr>
                <w:rFonts/>
                <w:color w:val="262626" w:themeColor="text1" w:themeTint="D9"/>
              </w:rPr>
            </w:pPr>
            <w:r>
              <w:t>Criteo espera, aproximadamente, un 30% de ingresos ex-TAC para las perspectivas ajustadas de margen de EBITDA para el año fiscal 2019.</w:t>
            </w:r>
          </w:p>
          <w:p>
            <w:pPr>
              <w:ind w:left="-284" w:right="-427"/>
              <w:jc w:val="both"/>
              <w:rPr>
                <w:rFonts/>
                <w:color w:val="262626" w:themeColor="text1" w:themeTint="D9"/>
              </w:rPr>
            </w:pPr>
            <w:r>
              <w:t>"El carácter recurrente de nuestro negocio está reflejado en el valor que depositan nuestros clientes en el trabajo que desempeñamos", ha afirmado JB Rudelle, CEO de Criteo. "Estamos construyendo sobre esta confianza para expandir nuestras relaciones con más soluciones".</w:t>
            </w:r>
          </w:p>
          <w:p>
            <w:pPr>
              <w:ind w:left="-284" w:right="-427"/>
              <w:jc w:val="both"/>
              <w:rPr>
                <w:rFonts/>
                <w:color w:val="262626" w:themeColor="text1" w:themeTint="D9"/>
              </w:rPr>
            </w:pPr>
            <w:r>
              <w:t>"Los resultados obtenidos en el cuarto trimestre marcan un punto de inflexión en nuestra trayectoria", ha señalado Benoit Fouilland, CFO de Criteo. "Esperamos ver un desarrollo positivo en 2019 impulsado por nuestros fundamentos y nuestra plataforma multi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Polito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https://www.notasdeprensa.es/criteo-aumenta-su-ebitda-ajustado-un-4-hasta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