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Renta Agraria, el comercio exterior agrario y pesquero y la ocupación en 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indicadores económicos, sociales y ambientales destaca el aumento de la Renta Agraria por unidad de trabajo y año en un 3,4% en 2015. También se incrementa el número de ocupados del sector agrario, que experimentó un aumento interanual del 8,4% en el primer trimestre y del 2,7% en el segundo trimestre. El saldo del comercio exterior del sector Agrario y Pesquero ha sido notablemente positivo con un acumulado anual móvil (abril 2015-marzo 2016) de 9.700 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Agricultura, Alimentación y Medio Ambiente, a través de la Subdirección de Análisis, Prospectiva y Coordinación acaba de editar el decimoctavo número de la publicación: Análisis y Prospectiva-serie Indicadores. Un informe, de periodicidad semestral, que analiza la evolución reciente de las actividades de producción, transformación y comercialización de productos agroalimentarios, a través de una serie de ndicadores económicos, sociales y ambientales.</w:t>
            </w:r>
          </w:p>
          <w:p>
            <w:pPr>
              <w:ind w:left="-284" w:right="-427"/>
              <w:jc w:val="both"/>
              <w:rPr>
                <w:rFonts/>
                <w:color w:val="262626" w:themeColor="text1" w:themeTint="D9"/>
              </w:rPr>
            </w:pPr>
            <w:r>
              <w:t>Indicadores económicos, sociales y ambientalesEn relación a la batería de indicadores económicos, sociales y ambientales, los hechos y cifras más relevantes marcan que:</w:t>
            </w:r>
          </w:p>
          <w:p>
            <w:pPr>
              <w:ind w:left="-284" w:right="-427"/>
              <w:jc w:val="both"/>
              <w:rPr>
                <w:rFonts/>
                <w:color w:val="262626" w:themeColor="text1" w:themeTint="D9"/>
              </w:rPr>
            </w:pPr>
            <w:r>
              <w:t>·       La Renta Agraria por unidad de trabajo y año ha aumentado un 3,4% en 2015.</w:t>
            </w:r>
          </w:p>
          <w:p>
            <w:pPr>
              <w:ind w:left="-284" w:right="-427"/>
              <w:jc w:val="both"/>
              <w:rPr>
                <w:rFonts/>
                <w:color w:val="262626" w:themeColor="text1" w:themeTint="D9"/>
              </w:rPr>
            </w:pPr>
            <w:r>
              <w:t>·        El número de ocupados del sector agrario experimentó un aumento interanual del 8,4% en el primer trimestre y en el segundo trimestre del año fue del 2,7%.</w:t>
            </w:r>
          </w:p>
          <w:p>
            <w:pPr>
              <w:ind w:left="-284" w:right="-427"/>
              <w:jc w:val="both"/>
              <w:rPr>
                <w:rFonts/>
                <w:color w:val="262626" w:themeColor="text1" w:themeTint="D9"/>
              </w:rPr>
            </w:pPr>
            <w:r>
              <w:t>·       Los precios percibidos por los agricultores mejoraron en un 6,3%; mientras que los precios pagados por bienes de uso corriente descendieron en un 1,5%.</w:t>
            </w:r>
          </w:p>
          <w:p>
            <w:pPr>
              <w:ind w:left="-284" w:right="-427"/>
              <w:jc w:val="both"/>
              <w:rPr>
                <w:rFonts/>
                <w:color w:val="262626" w:themeColor="text1" w:themeTint="D9"/>
              </w:rPr>
            </w:pPr>
            <w:r>
              <w:t>·       El saldo del comercio exterior del sector Agrario y Pesquero ha sido notablemente positivo con un acumulado anual móvil (abril 2015-marzo 2016) de 9.700 M€. El mínimo descenso en valor del saldo (-0,2%) con respecto al periodo previo se ha debido a un aumento de las importaciones (7,5%) superior al de las exportaciones (5,8%).</w:t>
            </w:r>
          </w:p>
          <w:p>
            <w:pPr>
              <w:ind w:left="-284" w:right="-427"/>
              <w:jc w:val="both"/>
              <w:rPr>
                <w:rFonts/>
                <w:color w:val="262626" w:themeColor="text1" w:themeTint="D9"/>
              </w:rPr>
            </w:pPr>
            <w:r>
              <w:t>·       El avance de superficies y producciones prevé para la campaña 2016 un aumento de la producción de trigo blando del 16,8%, de la cebada de un 35% y de la alfalfa del 4,3%; aunque el trigo duro descenderá un 12%.</w:t>
            </w:r>
          </w:p>
          <w:p>
            <w:pPr>
              <w:ind w:left="-284" w:right="-427"/>
              <w:jc w:val="both"/>
              <w:rPr>
                <w:rFonts/>
                <w:color w:val="262626" w:themeColor="text1" w:themeTint="D9"/>
              </w:rPr>
            </w:pPr>
            <w:r>
              <w:t>·       En el primer trimestre de 2016 el Sector Primario tuvo un crédito vivo valorado en 17.413 M€, lo que supone el 2,8% del crédito vivo total nacional; mientras que el crédito vivo de la industria agroalimentaria alcanzaba los 19.885 M€ (3,2% del crédito vivo total nacional). La Tasa de dudosos fue del 9,6% y 7,4% para el Sector Primario y la Industria Agroalimentaria respectivamente frente al 14,6% de media de todas las actividades productivas.</w:t>
            </w:r>
          </w:p>
          <w:p>
            <w:pPr>
              <w:ind w:left="-284" w:right="-427"/>
              <w:jc w:val="both"/>
              <w:rPr>
                <w:rFonts/>
                <w:color w:val="262626" w:themeColor="text1" w:themeTint="D9"/>
              </w:rPr>
            </w:pPr>
            <w:r>
              <w:t>·       El sector forestal aumentó el número de ocupados en el primer trimestre de 2016 (133.900) respecto al primer trimestre de 2015 en un 5,8%.</w:t>
            </w:r>
          </w:p>
          <w:p>
            <w:pPr>
              <w:ind w:left="-284" w:right="-427"/>
              <w:jc w:val="both"/>
              <w:rPr>
                <w:rFonts/>
                <w:color w:val="262626" w:themeColor="text1" w:themeTint="D9"/>
              </w:rPr>
            </w:pPr>
            <w:r>
              <w:t>·       El porcentaje de agua embalsado al final del primer semestre de 2016 alcanzó el 71,7%, lo que supuso unas reservas hídricas 40.143 Hm3.</w:t>
            </w:r>
          </w:p>
          <w:p>
            <w:pPr>
              <w:ind w:left="-284" w:right="-427"/>
              <w:jc w:val="both"/>
              <w:rPr>
                <w:rFonts/>
                <w:color w:val="262626" w:themeColor="text1" w:themeTint="D9"/>
              </w:rPr>
            </w:pPr>
            <w:r>
              <w:t>Estructura de las explotaciones agrariasEn cada número de la publicación: "Análisis y Prospectiva-serie Indicadores", se incorpora además un análisis sobre algún tema relevante relacionado con estas actividades económicas que, en esta ocasión, se centra en el estudio de la evolución de la estructura de las explotaciones agrarias por Comunidad Autónoma entre 2009 y 2013.</w:t>
            </w:r>
          </w:p>
          <w:p>
            <w:pPr>
              <w:ind w:left="-284" w:right="-427"/>
              <w:jc w:val="both"/>
              <w:rPr>
                <w:rFonts/>
                <w:color w:val="262626" w:themeColor="text1" w:themeTint="D9"/>
              </w:rPr>
            </w:pPr>
            <w:r>
              <w:t>Entre las conclusiones del análisis cabe destacar, en primer término, que la dimensión física de las explotaciones agrarias españolas aumentó levemente entre 2009 y 2013 (+0,5%), aunque creció más significativamente su dimensión económica (+8%) apoyada en un fuerte crecimiento de la productividad del trabajo (+15%).</w:t>
            </w:r>
          </w:p>
          <w:p>
            <w:pPr>
              <w:ind w:left="-284" w:right="-427"/>
              <w:jc w:val="both"/>
              <w:rPr>
                <w:rFonts/>
                <w:color w:val="262626" w:themeColor="text1" w:themeTint="D9"/>
              </w:rPr>
            </w:pPr>
            <w:r>
              <w:t>Al centrar el foco del análisis sobre cada Comunidad Autónoma, se observan matices respecto a los datos generales obtenidos para toda España. La evolución del tamaño físico ha sido dispar, con un crecimiento, por ejemplo, del 6,1% en Navarra frente a un descenso del 6,3% en Asturias.</w:t>
            </w:r>
          </w:p>
          <w:p>
            <w:pPr>
              <w:ind w:left="-284" w:right="-427"/>
              <w:jc w:val="both"/>
              <w:rPr>
                <w:rFonts/>
                <w:color w:val="262626" w:themeColor="text1" w:themeTint="D9"/>
              </w:rPr>
            </w:pPr>
            <w:r>
              <w:t>El tamaño económico ha subido en todas las Comunidades, con el liderazgo marcado por un 33,6% en el País Vasco y de un 20,1% en Navarra. Por último, la productividad económica del trabajo es la que mayor crecimiento ha tenido, con subidas de un 42,2% en el País Vasco, del 27,1% en La Rioja o del 25,9% en Castilla-La Mancha.</w:t>
            </w:r>
          </w:p>
          <w:p>
            <w:pPr>
              <w:ind w:left="-284" w:right="-427"/>
              <w:jc w:val="both"/>
              <w:rPr>
                <w:rFonts/>
                <w:color w:val="262626" w:themeColor="text1" w:themeTint="D9"/>
              </w:rPr>
            </w:pPr>
            <w:r>
              <w:t>El informe está disponible para su descarga, en la página web del Ministerio de Agricultura, Alimentación y Medio Ambiente, en la sección de Análisis y Prospectiva - serie Indicadores:</w:t>
            </w:r>
          </w:p>
          <w:p>
            <w:pPr>
              <w:ind w:left="-284" w:right="-427"/>
              <w:jc w:val="both"/>
              <w:rPr>
                <w:rFonts/>
                <w:color w:val="262626" w:themeColor="text1" w:themeTint="D9"/>
              </w:rPr>
            </w:pPr>
            <w:r>
              <w:t>http://www.magrama.gob.es/es/ministerio/servicios/analisis-y-prospectiva/aypindicadoresn18julio2016_tcm7-428577.pdf</w:t>
            </w:r>
          </w:p>
          <w:p>
            <w:pPr>
              <w:ind w:left="-284" w:right="-427"/>
              <w:jc w:val="both"/>
              <w:rPr>
                <w:rFonts/>
                <w:color w:val="262626" w:themeColor="text1" w:themeTint="D9"/>
              </w:rPr>
            </w:pPr>
            <w:r>
              <w:t>El contenido de este comunicado fue publicado primero en la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https://www.notasdeprensa.es/crece-la-renta-agraria-el-comercio-exterior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