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reporta resultados de su año fiscal 2013  y del último trimestre del ejercicio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Software Technologies Ltd. (NASDAQ: CHKP), líder en soluciones de seguridad para Internet, ha anunciado los resultados financieros del cuarto trimestre de 2013, concluido el pasado 31 de diciembre, y los datos consolidados del año fiscal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30 de enero de 2014.– Check Point® Software Technologies Ltd. (NASDAQ: CHKP), líder en soluciones de seguridad para Internet, ha anunciado los resultados financieros del cuarto trimestre de 2013, concluido el pasado 31 de diciembre, y los datos consolidados del año fiscal completo.</w:t>
            </w:r>
          </w:p>
          <w:p>
            <w:pPr>
              <w:ind w:left="-284" w:right="-427"/>
              <w:jc w:val="both"/>
              <w:rPr>
                <w:rFonts/>
                <w:color w:val="262626" w:themeColor="text1" w:themeTint="D9"/>
              </w:rPr>
            </w:pPr>
            <w:r>
              <w:t>Cuarto trimestre de 2013:</w:t>
            </w:r>
          </w:p>
          <w:p>
            <w:pPr>
              <w:ind w:left="-284" w:right="-427"/>
              <w:jc w:val="both"/>
              <w:rPr>
                <w:rFonts/>
                <w:color w:val="262626" w:themeColor="text1" w:themeTint="D9"/>
              </w:rPr>
            </w:pPr>
            <w:r>
              <w:t>Facturación: 387,1 millones de dólares, que representa un incremento del 5% en tasa interanual.Ingresos diferidos: 671,6 millones de dólares, que representa un 14% más en tasa interanual y un 19% secuencialmente.Beneficios por acción (no-GAAP): 0,98 dólares de beneficio por acción, que representa un 8% de subida interanual.</w:t>
            </w:r>
          </w:p>
          <w:p>
            <w:pPr>
              <w:ind w:left="-284" w:right="-427"/>
              <w:jc w:val="both"/>
              <w:rPr>
                <w:rFonts/>
                <w:color w:val="262626" w:themeColor="text1" w:themeTint="D9"/>
              </w:rPr>
            </w:pPr>
            <w:r>
              <w:t>Año 2013 completo:</w:t>
            </w:r>
          </w:p>
          <w:p>
            <w:pPr>
              <w:ind w:left="-284" w:right="-427"/>
              <w:jc w:val="both"/>
              <w:rPr>
                <w:rFonts/>
                <w:color w:val="262626" w:themeColor="text1" w:themeTint="D9"/>
              </w:rPr>
            </w:pPr>
            <w:r>
              <w:t>Facturación: 1.394,1 millones de dólares, que representa un incremento del 4% con respecto al mismo periodo del año anterior.Beneficio por acción (no-GAAP): 3,43 dólares, que representa un 8% de incremento en tasa interanual.</w:t>
            </w:r>
          </w:p>
          <w:p>
            <w:pPr>
              <w:ind w:left="-284" w:right="-427"/>
              <w:jc w:val="both"/>
              <w:rPr>
                <w:rFonts/>
                <w:color w:val="262626" w:themeColor="text1" w:themeTint="D9"/>
              </w:rPr>
            </w:pPr>
            <w:r>
              <w:t>"El cuarto trimestre representó uno de los mejores en nuestra trayectoria, lo cual queda reflejado en las ganancias de nuestros clientes y en los beneficios diferidos. Tanto Europa como América arrojaron buenos resultados de la mano de la fortaleza de nuestros nuevos appliances para centro de datos y la nueva generación de Software Blades para detección de amenazas", ha señalado Gil Shwed, fundador, presidente y CEO de Check Point Software Technologies.</w:t>
            </w:r>
          </w:p>
          <w:p>
            <w:pPr>
              <w:ind w:left="-284" w:right="-427"/>
              <w:jc w:val="both"/>
              <w:rPr>
                <w:rFonts/>
                <w:color w:val="262626" w:themeColor="text1" w:themeTint="D9"/>
              </w:rPr>
            </w:pPr>
            <w:r>
              <w:t>Resultados financieros del cuarto trimestre de 2013</w:t>
            </w:r>
          </w:p>
          <w:p>
            <w:pPr>
              <w:ind w:left="-284" w:right="-427"/>
              <w:jc w:val="both"/>
              <w:rPr>
                <w:rFonts/>
                <w:color w:val="262626" w:themeColor="text1" w:themeTint="D9"/>
              </w:rPr>
            </w:pPr>
            <w:r>
              <w:t>Facturación: 387,1 millones de dólares, lo que supone un incremento del 5% comparado con los 368,6 millones del cuatro trimestre de 2012.  </w:t>
            </w:r>
          </w:p>
          <w:p>
            <w:pPr>
              <w:ind w:left="-284" w:right="-427"/>
              <w:jc w:val="both"/>
              <w:rPr>
                <w:rFonts/>
                <w:color w:val="262626" w:themeColor="text1" w:themeTint="D9"/>
              </w:rPr>
            </w:pPr>
            <w:r>
              <w:t>Ingresos de explotación (GAAP): 214,1 millones, un incremento del 2% comparado con los 210,5 millones de dólares del cuarto trimestre de 2012.</w:t>
            </w:r>
          </w:p>
          <w:p>
            <w:pPr>
              <w:ind w:left="-284" w:right="-427"/>
              <w:jc w:val="both"/>
              <w:rPr>
                <w:rFonts/>
                <w:color w:val="262626" w:themeColor="text1" w:themeTint="D9"/>
              </w:rPr>
            </w:pPr>
            <w:r>
              <w:t>Ingresos de explotación (no-GAAP): 227,3 millones, un incremento del 2% comparado con los 222,9 millones de dólares del cuarto trimestre de 2012. El margen operativo no-GAAP fue del 59% comparado con el 60% del cuarto trimestre de 2012.</w:t>
            </w:r>
          </w:p>
          <w:p>
            <w:pPr>
              <w:ind w:left="-284" w:right="-427"/>
              <w:jc w:val="both"/>
              <w:rPr>
                <w:rFonts/>
                <w:color w:val="262626" w:themeColor="text1" w:themeTint="D9"/>
              </w:rPr>
            </w:pPr>
            <w:r>
              <w:t>Ingresos netos y beneficio por acción GAAP: Ingresos GAAP netos de 194,1 millones de dólares, lo que supone una subida del 12% comparado con los 174  millones de dólares del cuarto trimestre de 2012. Las ganancias por acción fueron de 0,99 dólares, un 16%, si lo comparamos con los 0,85 dólares del  cuarto trimestre de 2012.Ingresos netos y beneficio por acción no-GAAP: Los ingresos no-GAAP netos fueron de 192 millones de dólares, lo que supone una subida del 4% comparado  con los 185,1 millones de dólares del cuarto trimestre de 2012. Las ganancias por acción fueron de 0,98 dólares, un 8% más, si lo comparamos con los 0,91  dólares del cuarto trimestre de 2012.</w:t>
            </w:r>
          </w:p>
          <w:p>
            <w:pPr>
              <w:ind w:left="-284" w:right="-427"/>
              <w:jc w:val="both"/>
              <w:rPr>
                <w:rFonts/>
                <w:color w:val="262626" w:themeColor="text1" w:themeTint="D9"/>
              </w:rPr>
            </w:pPr>
            <w:r>
              <w:t>Ingresos diferidos: A fecha 31 de diciembre de 2013 Check Point obtuvo unos beneficios de 671,6 millones de dólares, lo que implica un incremento del 14% si contrastamos esta cifra con los 589,7 millones de dólares que obtuvo el 31 de diciembre de 2012, y del 19% mejor si lo comparamos con los 566,8 millones  de dólares que tenía el 30 de septiembre de 2013.Liquidación de impuestos: Durante el trimestre, Check Point llevó a efecto el acuerdo de liquidación con la agencia tributaria israelí en lo que se refiere a los beneficios  generados por la compañía mediante la Ley Israelí para el Fomento de las Inversiones y del Capital, y cerraron todas las cuestiones con la ITA con respecto a los impuestos de los  años anteriores. En este sentido, durante el cuarto trimestre de 2013 y el primer trimestre de 2014 se terminarán de completar los dos pagos para cumplir con dicho acuerdo.</w:t>
            </w:r>
          </w:p>
          <w:p>
            <w:pPr>
              <w:ind w:left="-284" w:right="-427"/>
              <w:jc w:val="both"/>
              <w:rPr>
                <w:rFonts/>
                <w:color w:val="262626" w:themeColor="text1" w:themeTint="D9"/>
              </w:rPr>
            </w:pPr>
            <w:r>
              <w:t>Flujo de tesorería: el flujo de caja proveniente de operaciones fue de 58,2 millones de dólares. Neto de los impuestos a pagar en virtud del acuerdo con la agencia tributaria  Israelí durante el trimestre, las operaciones de flujo de caja se incrementaron un 13% hasta los 228,1 millones de dólares, comparadas con los 202,4 millones de  dólares del cuarto trimestre de 2012.</w:t>
            </w:r>
          </w:p>
          <w:p>
            <w:pPr>
              <w:ind w:left="-284" w:right="-427"/>
              <w:jc w:val="both"/>
              <w:rPr>
                <w:rFonts/>
                <w:color w:val="262626" w:themeColor="text1" w:themeTint="D9"/>
              </w:rPr>
            </w:pPr>
            <w:r>
              <w:t>Programa de Recompra de Acciones: durante el cuarto trimestre de 2013, la compañía recompró 2,3 millones de acciones por un valor total de 135,1 millones de dólares.  </w:t>
            </w:r>
          </w:p>
          <w:p>
            <w:pPr>
              <w:ind w:left="-284" w:right="-427"/>
              <w:jc w:val="both"/>
              <w:rPr>
                <w:rFonts/>
                <w:color w:val="262626" w:themeColor="text1" w:themeTint="D9"/>
              </w:rPr>
            </w:pPr>
            <w:r>
              <w:t>Saldo de efectivo y valores negociables: 3.629,9 millones de dólares con fecha 31 de diciembre de 2013, lo que supone un incremento de 334,5 millones de dólares si los contrastamos con los 3.295,4 millones de dólares del 31 de diciembre de 2012.</w:t>
            </w:r>
          </w:p>
          <w:p>
            <w:pPr>
              <w:ind w:left="-284" w:right="-427"/>
              <w:jc w:val="both"/>
              <w:rPr>
                <w:rFonts/>
                <w:color w:val="262626" w:themeColor="text1" w:themeTint="D9"/>
              </w:rPr>
            </w:pPr>
            <w:r>
              <w:t>Resultados financieros del año a fecha de 31 de diciembre de 2013</w:t>
            </w:r>
          </w:p>
          <w:p>
            <w:pPr>
              <w:ind w:left="-284" w:right="-427"/>
              <w:jc w:val="both"/>
              <w:rPr>
                <w:rFonts/>
                <w:color w:val="262626" w:themeColor="text1" w:themeTint="D9"/>
              </w:rPr>
            </w:pPr>
            <w:r>
              <w:t>Facturación: 1.394,1 millones de dólares, lo que supone un 4% más que los 1.342.7 millones de 2012.</w:t>
            </w:r>
          </w:p>
          <w:p>
            <w:pPr>
              <w:ind w:left="-284" w:right="-427"/>
              <w:jc w:val="both"/>
              <w:rPr>
                <w:rFonts/>
                <w:color w:val="262626" w:themeColor="text1" w:themeTint="D9"/>
              </w:rPr>
            </w:pPr>
            <w:r>
              <w:t>Ingresos de explotación (GAAP): 760,9 millones de dólares, un incremento del 2% comparado con los 746,5 millones de dólares en 2012.</w:t>
            </w:r>
          </w:p>
          <w:p>
            <w:pPr>
              <w:ind w:left="-284" w:right="-427"/>
              <w:jc w:val="both"/>
              <w:rPr>
                <w:rFonts/>
                <w:color w:val="262626" w:themeColor="text1" w:themeTint="D9"/>
              </w:rPr>
            </w:pPr>
            <w:r>
              <w:t>Ingresos de explotación (no-GAAP): 815 millones de dólares, un incremento del 2% comparado con los 798,9 millones de dólares en 2012. El margen operativo no GAAP fue del 58%, comparado con el 59% de 2012.</w:t>
            </w:r>
          </w:p>
          <w:p>
            <w:pPr>
              <w:ind w:left="-284" w:right="-427"/>
              <w:jc w:val="both"/>
              <w:rPr>
                <w:rFonts/>
                <w:color w:val="262626" w:themeColor="text1" w:themeTint="D9"/>
              </w:rPr>
            </w:pPr>
            <w:r>
              <w:t>Ingresos netos y beneficio por acción GAAP: Ingresos GAAP netos de 652,8 millones de dólares, lo que supone una subida del 5% comparado con los 620 millones de dólares en 2012. Las ganancias por acción (GAAP) fueron de 3,27 dólares, un 10% más si lo comparamos con los 2,96 dólares de 2012.</w:t>
            </w:r>
          </w:p>
          <w:p>
            <w:pPr>
              <w:ind w:left="-284" w:right="-427"/>
              <w:jc w:val="both"/>
              <w:rPr>
                <w:rFonts/>
                <w:color w:val="262626" w:themeColor="text1" w:themeTint="D9"/>
              </w:rPr>
            </w:pPr>
            <w:r>
              <w:t>Ingresos netos y beneficio por acción (no-GAAP): Los ingresos no-GAAP netos fueron de 685,2 millones de dólares, lo que supone una subida del 3% comparado  con los 667,9 millones de dólares de 2012. Las ganancias por acción fueron de 3,43 dólares, un 8% más, si lo comparamos con los 3,19 dólares de 2012.</w:t>
            </w:r>
          </w:p>
          <w:p>
            <w:pPr>
              <w:ind w:left="-284" w:right="-427"/>
              <w:jc w:val="both"/>
              <w:rPr>
                <w:rFonts/>
                <w:color w:val="262626" w:themeColor="text1" w:themeTint="D9"/>
              </w:rPr>
            </w:pPr>
            <w:r>
              <w:t>Flujo de tesorería: El flujo proveniente de operaciones fue de 789,9 millones de dólares. Neto de los impuestos a pagar en virtud del acuerdo con la agencia tributaria  Israelí durante 2013, las operaciones de flujo de caja se incrementaron un 6% hasta los 862,1 millones de dólares, comparadas con los 815,8 millones de dólares en 2012.</w:t>
            </w:r>
          </w:p>
          <w:p>
            <w:pPr>
              <w:ind w:left="-284" w:right="-427"/>
              <w:jc w:val="both"/>
              <w:rPr>
                <w:rFonts/>
                <w:color w:val="262626" w:themeColor="text1" w:themeTint="D9"/>
              </w:rPr>
            </w:pPr>
            <w:r>
              <w:t>Programa de Recompra de Acciones: En 2013 Check Point compró 10,1 millones de acciones por un valor total de 538 millones de dólares, lo que representa una media de  recompra por trimestre de 135 millones de dólares. Hoy la compañía anunció en una conferencia de prensa que su equipo directivo ha autorizado una extensión y expansión del actual programa de recompra. Bajo el programa actualizado, cuyo efecto es inmediato, Check Point autorizó la recompra excepcional de hasta 200 millones de dólares de sus  acciones, lo que supondrá una cifra total acumulada de 1.000 millones de dólares.</w:t>
            </w:r>
          </w:p>
          <w:p>
            <w:pPr>
              <w:ind w:left="-284" w:right="-427"/>
              <w:jc w:val="both"/>
              <w:rPr>
                <w:rFonts/>
                <w:color w:val="262626" w:themeColor="text1" w:themeTint="D9"/>
              </w:rPr>
            </w:pPr>
            <w:r>
              <w:t>Resultados de negocio</w:t>
            </w:r>
          </w:p>
          <w:p>
            <w:pPr>
              <w:ind w:left="-284" w:right="-427"/>
              <w:jc w:val="both"/>
              <w:rPr>
                <w:rFonts/>
                <w:color w:val="262626" w:themeColor="text1" w:themeTint="D9"/>
              </w:rPr>
            </w:pPr>
            <w:r>
              <w:t>Durante 2013, Check Point introdujo nuevas e innovadoras soluciones de seguridad para proteger a las organizaciones de todos los tamaños y complejidades, entre las que se  encuentran:</w:t>
            </w:r>
          </w:p>
          <w:p>
            <w:pPr>
              <w:ind w:left="-284" w:right="-427"/>
              <w:jc w:val="both"/>
              <w:rPr>
                <w:rFonts/>
                <w:color w:val="262626" w:themeColor="text1" w:themeTint="D9"/>
              </w:rPr>
            </w:pPr>
            <w:r>
              <w:t>Nueva versión de software R77 – Check Point anunció el lanzamiento de su la última versión de su galardonada arquitectura Software Blade. Esta versión incluye más de 50 mejoras de producto, como el  nuevo servicio de emulación ThreatCloud Emulation, la tecnología para la mejora del rendimiento Check Point HyperSpect™ y Check Point Compliance Software Blade, entre otros.</w:t>
            </w:r>
          </w:p>
          <w:p>
            <w:pPr>
              <w:ind w:left="-284" w:right="-427"/>
              <w:jc w:val="both"/>
              <w:rPr>
                <w:rFonts/>
                <w:color w:val="262626" w:themeColor="text1" w:themeTint="D9"/>
              </w:rPr>
            </w:pPr>
            <w:r>
              <w:t>Threat Emulation Software Blade – Una solución innovadora que previene de infecciones por nuevos exploits, amenazas no descubiertas y ataques dirigidos. Threat Emulation  inspecciona documentos sospechosos y simula cómo se ejecutarán en un entorno virtual para descubrir comportamiento malicioso y para prevenir que el malware acceda a la red.</w:t>
            </w:r>
          </w:p>
          <w:p>
            <w:pPr>
              <w:ind w:left="-284" w:right="-427"/>
              <w:jc w:val="both"/>
              <w:rPr>
                <w:rFonts/>
                <w:color w:val="262626" w:themeColor="text1" w:themeTint="D9"/>
              </w:rPr>
            </w:pPr>
            <w:r>
              <w:t>Compliance Software Blade – La primera solución integrada del sector en utilizar una amplia base de conocimiento sobre requerimientos regulatorios y sobre las mejores prácticas de seguridad en TI, mientras que ofrece una monitorización en tiempo real de su cumplimiento. Compliance Software Blade de Check Point vela por unas políticas de seguridad alineadas con las normas globales y valida que se mantengan los niveles de seguridad adecuados, reduciendo los tiempos de auditoría, mejorando la seguridad y reduciendo los costes para las empresas.</w:t>
            </w:r>
          </w:p>
          <w:p>
            <w:pPr>
              <w:ind w:left="-284" w:right="-427"/>
              <w:jc w:val="both"/>
              <w:rPr>
                <w:rFonts/>
                <w:color w:val="262626" w:themeColor="text1" w:themeTint="D9"/>
              </w:rPr>
            </w:pPr>
            <w:r>
              <w:t>Nuevos Appliances para Centros de Datos:</w:t>
            </w:r>
          </w:p>
          <w:p>
            <w:pPr>
              <w:ind w:left="-284" w:right="-427"/>
              <w:jc w:val="both"/>
              <w:rPr>
                <w:rFonts/>
                <w:color w:val="262626" w:themeColor="text1" w:themeTint="D9"/>
              </w:rPr>
            </w:pPr>
            <w:r>
              <w:t>Appliance 13500 – Check Point lanzó el appliance 13500, el primero en la nueva línea de appliances 13000 diseñado específicamente para expandir el entorno de seguridad de red en los centros de datos. El appliance 13500 cuenta con Check Point HyperSpect™, que maximiza la utilización del hardware y ofrece un rendimiento real del firewall de hasta 77 Gbps, 7 Gbps. de rendimiento IPS, y 3,200 unidades SPU (SecurityPower™).</w:t>
            </w:r>
          </w:p>
          <w:p>
            <w:pPr>
              <w:ind w:left="-284" w:right="-427"/>
              <w:jc w:val="both"/>
              <w:rPr>
                <w:rFonts/>
                <w:color w:val="262626" w:themeColor="text1" w:themeTint="D9"/>
              </w:rPr>
            </w:pPr>
            <w:r>
              <w:t>Appliance 21700 – El appliance 21700 ofrece la seguridad líder del mercado y el máximo rendimiento en un chasis compacto de 2U, protegiendo a las grandes empresas y centros de  datos con la galardonada arquitectura Software Blade. Ofrece un rendimiento excepcional de seguridad con un rendimiento real del firewall de hasta 110 Gbps, 8 Gbps. de  rendimiento IPS y 3,551 unidades SPU (SecurityPower™). El appliance 21700 es el tercer modelo de la familia 21000 y mejora el rendimiento en un 50%, aproximadamente, desde su lanzamiento.</w:t>
            </w:r>
          </w:p>
          <w:p>
            <w:pPr>
              <w:ind w:left="-284" w:right="-427"/>
              <w:jc w:val="both"/>
              <w:rPr>
                <w:rFonts/>
                <w:color w:val="262626" w:themeColor="text1" w:themeTint="D9"/>
              </w:rPr>
            </w:pPr>
            <w:r>
              <w:t>Seguridad de grandes empresas en paquetes de escritorio: gama de Appliances 600 y 1100</w:t>
            </w:r>
          </w:p>
          <w:p>
            <w:pPr>
              <w:ind w:left="-284" w:right="-427"/>
              <w:jc w:val="both"/>
              <w:rPr>
                <w:rFonts/>
                <w:color w:val="262626" w:themeColor="text1" w:themeTint="D9"/>
              </w:rPr>
            </w:pPr>
            <w:r>
              <w:t>Gama de appliances 600 – Diseñados para acometer las necesidades de seguridad de las pequeñas empresas con menos de 100 empleados. La gama 600 ofrece la completa arquitectura Software Blade (Firewall de última generación, IPS, Prevención de Amenazas, etc.) junto con una interfaz web extremadamente fácil de usar, y es capaz de  procesar hasta 1,5 Gbps. en un rango de precios que oscila entre los 399 y los 1.200 dólares. El appliance 640 fue reconocido con el Clear Choice Award de Network World.</w:t>
            </w:r>
          </w:p>
          <w:p>
            <w:pPr>
              <w:ind w:left="-284" w:right="-427"/>
              <w:jc w:val="both"/>
              <w:rPr>
                <w:rFonts/>
                <w:color w:val="262626" w:themeColor="text1" w:themeTint="D9"/>
              </w:rPr>
            </w:pPr>
            <w:r>
              <w:t>Gama de appliances 1100 – Dirigidos a las oficinas remotas de las compañías y optimizado para grandes despliegues con cientos de delegaciones. La gama 1100 ofrece a los  clientes la capacidad de utilizar la arquitectura Software Blade con capacidad de gestión centralizada y es capaz de procesar hasta 1,5 Gbps. en precios que van desde los 599 hasta los 2.000 dólares.</w:t>
            </w:r>
          </w:p>
          <w:p>
            <w:pPr>
              <w:ind w:left="-284" w:right="-427"/>
              <w:jc w:val="both"/>
              <w:rPr>
                <w:rFonts/>
                <w:color w:val="262626" w:themeColor="text1" w:themeTint="D9"/>
              </w:rPr>
            </w:pPr>
            <w:r>
              <w:t>Extensión de la alianza con Blue Coat para la plataforma X-Series</w:t>
            </w:r>
          </w:p>
          <w:p>
            <w:pPr>
              <w:ind w:left="-284" w:right="-427"/>
              <w:jc w:val="both"/>
              <w:rPr>
                <w:rFonts/>
                <w:color w:val="262626" w:themeColor="text1" w:themeTint="D9"/>
              </w:rPr>
            </w:pPr>
            <w:r>
              <w:t>Check Point y Blue Coat anunciaron una extensión de su exitosa y duradera alianza donde Check Point se convirtió en el proveedor principal de la plataforma X-Series para el mercado de firewalls de seguridad de redes de alta gama. Check Point ahora ofrece soporte de primer nivel, haciendo más fácil a los clientes beneficiarse de una seguridad de red  más integrada y escalable.</w:t>
            </w:r>
          </w:p>
          <w:p>
            <w:pPr>
              <w:ind w:left="-284" w:right="-427"/>
              <w:jc w:val="both"/>
              <w:rPr>
                <w:rFonts/>
                <w:color w:val="262626" w:themeColor="text1" w:themeTint="D9"/>
              </w:rPr>
            </w:pPr>
            <w:r>
              <w:t>Alianzas y reconocimientos de la industria</w:t>
            </w:r>
          </w:p>
          <w:p>
            <w:pPr>
              <w:ind w:left="-284" w:right="-427"/>
              <w:jc w:val="both"/>
              <w:rPr>
                <w:rFonts/>
                <w:color w:val="262626" w:themeColor="text1" w:themeTint="D9"/>
              </w:rPr>
            </w:pPr>
            <w:r>
              <w:t>Líder mundial en el mercado de Firewalls combinados y Appliances UTM - Check Point está posicionado en primer lugar como empresa con más ingresos en esta categoría durante el primer, segundo y tercer trimestre de 2013, de acuerdo con el estudio “IDC Worldwide Security Appliance Tracker”</w:t>
            </w:r>
          </w:p>
          <w:p>
            <w:pPr>
              <w:ind w:left="-284" w:right="-427"/>
              <w:jc w:val="both"/>
              <w:rPr>
                <w:rFonts/>
                <w:color w:val="262626" w:themeColor="text1" w:themeTint="D9"/>
              </w:rPr>
            </w:pPr>
            <w:r>
              <w:t>Líder mundial en equipamiento Firewall - Check Point lideró la cuota mundial para equipamiento Firewall de acuerdo con el informe Gartner Market Share: Enterprise Network Equipment by Market Segment, Worldwide, 2Q13.</w:t>
            </w:r>
          </w:p>
          <w:p>
            <w:pPr>
              <w:ind w:left="-284" w:right="-427"/>
              <w:jc w:val="both"/>
              <w:rPr>
                <w:rFonts/>
                <w:color w:val="262626" w:themeColor="text1" w:themeTint="D9"/>
              </w:rPr>
            </w:pPr>
            <w:r>
              <w:t>Líder en el Cuadrante Mágico de Gartner para Firewalls de red empresariales - Check Point está posicionado como líder en esta categoría. La compañía ha estado en este cuadrante de líderes durante 16 años consecutivos.</w:t>
            </w:r>
          </w:p>
          <w:p>
            <w:pPr>
              <w:ind w:left="-284" w:right="-427"/>
              <w:jc w:val="both"/>
              <w:rPr>
                <w:rFonts/>
                <w:color w:val="262626" w:themeColor="text1" w:themeTint="D9"/>
              </w:rPr>
            </w:pPr>
            <w:r>
              <w:t>Líder en el Cuadrante Mágico de Gartner para UTM - Check Point está posicionado como líder en  Gestión Unificada de Amenazas (Unified Threat Management), según Gartner. La compañía ha estado en este cuadrante de líderes durante 3 años consecutivos.</w:t>
            </w:r>
          </w:p>
          <w:p>
            <w:pPr>
              <w:ind w:left="-284" w:right="-427"/>
              <w:jc w:val="both"/>
              <w:rPr>
                <w:rFonts/>
                <w:color w:val="262626" w:themeColor="text1" w:themeTint="D9"/>
              </w:rPr>
            </w:pPr>
            <w:r>
              <w:t>Líder en el Cuadrante Mágico de Gartner para la protección de datos móviles - Check Point está posicionado como líder en esta categoría. La compañía ha estado en este cuadrante de líderes durante 7 años consecutivos.</w:t>
            </w:r>
          </w:p>
          <w:p>
            <w:pPr>
              <w:ind w:left="-284" w:right="-427"/>
              <w:jc w:val="both"/>
              <w:rPr>
                <w:rFonts/>
                <w:color w:val="262626" w:themeColor="text1" w:themeTint="D9"/>
              </w:rPr>
            </w:pPr>
            <w:r>
              <w:t>Check Point supera a todos sus competidores con la nueva generación de Gateways - Check Point se sometió a las rigurosas evaluaciones de Miercom junto a dos competidores y alcanzó la puntuación más alta superando a sus rivales en todos los elementos analizados, entre los que se incluía control web, clasificación y cobertura de URL, bloqueo de URLs por categorías no deseadas y potencialmente peligrosas, así como control de aplicaciones.</w:t>
            </w:r>
          </w:p>
          <w:p>
            <w:pPr>
              <w:ind w:left="-284" w:right="-427"/>
              <w:jc w:val="both"/>
              <w:rPr>
                <w:rFonts/>
                <w:color w:val="262626" w:themeColor="text1" w:themeTint="D9"/>
              </w:rPr>
            </w:pPr>
            <w:r>
              <w:t>"Hemos pasado 2013 con una nota elevada, lo que pone de manifiesto nuestra avanzada tecnología y remarca el éxito de nuestros Software Blade y  los  appliances para centros de datos. En 2014 esperamos poder ofrecer una mayor innovación y un mayor nivel de seguridad a todos nuestros clientes", concluye Shwed.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https://www.notasdeprensa.es/check-point-reporta-resultados-de-su-ano-fiscal-2013-y-del-ultimo-trimestre-del-ejercicio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