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Montréal, Quebec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CGI, la quinta consultora TI del mundo, factura 2.700 millones de dólares en su tercer trimestre fiscal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Presente en España desde 2014, la compañía inicia su año fiscal el 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Resultados CGI</w:t>
            </w:r>
          </w:p>
          <w:p>
            <w:pPr>
              <w:ind w:left="-284" w:right="-427"/>
              <w:jc w:val="both"/>
              <w:rPr>
                <w:rFonts/>
                <w:color w:val="262626" w:themeColor="text1" w:themeTint="D9"/>
              </w:rPr>
            </w:pPr>
            <w:r>
              <w:t>Las ganancias por acción se incrementan un 11,3 por ciento</w:t>
            </w:r>
          </w:p>
          <w:p>
            <w:pPr>
              <w:ind w:left="-284" w:right="-427"/>
              <w:jc w:val="both"/>
              <w:rPr>
                <w:rFonts/>
                <w:color w:val="262626" w:themeColor="text1" w:themeTint="D9"/>
              </w:rPr>
            </w:pPr>
            <w:r>
              <w:t>Los ingresos ascienden a 2.700 millones de dólares, lo que supone un aumento de un 4,2%.</w:t>
            </w:r>
          </w:p>
          <w:p>
            <w:pPr>
              <w:ind w:left="-284" w:right="-427"/>
              <w:jc w:val="both"/>
              <w:rPr>
                <w:rFonts/>
                <w:color w:val="262626" w:themeColor="text1" w:themeTint="D9"/>
              </w:rPr>
            </w:pPr>
            <w:r>
              <w:t>Las reservas de 2.900 millones de dólares, aumentan en 712,4 millones.</w:t>
            </w:r>
          </w:p>
          <w:p>
            <w:pPr>
              <w:ind w:left="-284" w:right="-427"/>
              <w:jc w:val="both"/>
              <w:rPr>
                <w:rFonts/>
                <w:color w:val="262626" w:themeColor="text1" w:themeTint="D9"/>
              </w:rPr>
            </w:pPr>
            <w:r>
              <w:t>La cartera de pedidos de 20.600 millones de dólares crece en 916,6 millones</w:t>
            </w:r>
          </w:p>
          <w:p>
            <w:pPr>
              <w:ind w:left="-284" w:right="-427"/>
              <w:jc w:val="both"/>
              <w:rPr>
                <w:rFonts/>
                <w:color w:val="262626" w:themeColor="text1" w:themeTint="D9"/>
              </w:rPr>
            </w:pPr>
            <w:r>
              <w:t>El EBIT ajustado de 390,5 millones de dólares, se incrementa en 19,3 millones.</w:t>
            </w:r>
          </w:p>
          <w:p>
            <w:pPr>
              <w:ind w:left="-284" w:right="-427"/>
              <w:jc w:val="both"/>
              <w:rPr>
                <w:rFonts/>
                <w:color w:val="262626" w:themeColor="text1" w:themeTint="D9"/>
              </w:rPr>
            </w:pPr>
            <w:r>
              <w:t>El margen de EBIT ajustado del 14,6%, supone un incremento de 10 puntos básicos.</w:t>
            </w:r>
          </w:p>
          <w:p>
            <w:pPr>
              <w:ind w:left="-284" w:right="-427"/>
              <w:jc w:val="both"/>
              <w:rPr>
                <w:rFonts/>
                <w:color w:val="262626" w:themeColor="text1" w:themeTint="D9"/>
              </w:rPr>
            </w:pPr>
            <w:r>
              <w:t>El beneficio neto de 273,8 millones de dólares supone 16,6 millones más.</w:t>
            </w:r>
          </w:p>
          <w:p>
            <w:pPr>
              <w:ind w:left="-284" w:right="-427"/>
              <w:jc w:val="both"/>
              <w:rPr>
                <w:rFonts/>
                <w:color w:val="262626" w:themeColor="text1" w:themeTint="D9"/>
              </w:rPr>
            </w:pPr>
            <w:r>
              <w:t>El margen neto de beneficios del 10,3%, significa un aumento de 20 puntos básicos.</w:t>
            </w:r>
          </w:p>
          <w:p>
            <w:pPr>
              <w:ind w:left="-284" w:right="-427"/>
              <w:jc w:val="both"/>
              <w:rPr>
                <w:rFonts/>
                <w:color w:val="262626" w:themeColor="text1" w:themeTint="D9"/>
              </w:rPr>
            </w:pPr>
            <w:r>
              <w:t>El BPA de 89 centavos de dólar, crece un 11,3%.</w:t>
            </w:r>
          </w:p>
          <w:p>
            <w:pPr>
              <w:ind w:left="-284" w:right="-427"/>
              <w:jc w:val="both"/>
              <w:rPr>
                <w:rFonts/>
                <w:color w:val="262626" w:themeColor="text1" w:themeTint="D9"/>
              </w:rPr>
            </w:pPr>
            <w:r>
              <w:t>Los 351,7 millones de fondos generados por las actividades operativas suponen el 13,2% de los ingresos.</w:t>
            </w:r>
          </w:p>
          <w:p>
            <w:pPr>
              <w:ind w:left="-284" w:right="-427"/>
              <w:jc w:val="both"/>
              <w:rPr>
                <w:rFonts/>
                <w:color w:val="262626" w:themeColor="text1" w:themeTint="D9"/>
              </w:rPr>
            </w:pPr>
            <w:r>
              <w:t>El retorno sobre el capital es del 16,9%.</w:t>
            </w:r>
          </w:p>
          <w:p>
            <w:pPr>
              <w:ind w:left="-284" w:right="-427"/>
              <w:jc w:val="both"/>
              <w:rPr>
                <w:rFonts/>
                <w:color w:val="262626" w:themeColor="text1" w:themeTint="D9"/>
              </w:rPr>
            </w:pPr>
            <w:r>
              <w:t>CGI ha informado de los resultados fiscales obtenidos durante el tercer trimestre de 2016 con unos ingresos brutos de 2.700 millones de dólares, un 4,2% más que en el mismo periodo del año anterior, con unas fluctuaciones en las divisas que han impactado positivamente en los ingresos incrementándolos en 93.3 millones. Sobre una base de moneda constante, los ingresos aumentaron un 0,6%.</w:t>
            </w:r>
          </w:p>
          <w:p>
            <w:pPr>
              <w:ind w:left="-284" w:right="-427"/>
              <w:jc w:val="both"/>
              <w:rPr>
                <w:rFonts/>
                <w:color w:val="262626" w:themeColor="text1" w:themeTint="D9"/>
              </w:rPr>
            </w:pPr>
            <w:r>
              <w:t>CGI ha registrado 2.900 millones de dólares en adjudicaciones de contratos, con lo que las reservas totales en los últimos doce meses se contabilizan en 11.7000 millones de dólares, lo que supone un 109,8% de los ingresos. A finales de junio de 2016, la cartera de pedidos firmados de la compañía se situó en 20,6 millones de dólares, 916,6 millones más que en el mismo período del año anterior.</w:t>
            </w:r>
          </w:p>
          <w:p>
            <w:pPr>
              <w:ind w:left="-284" w:right="-427"/>
              <w:jc w:val="both"/>
              <w:rPr>
                <w:rFonts/>
                <w:color w:val="262626" w:themeColor="text1" w:themeTint="D9"/>
              </w:rPr>
            </w:pPr>
            <w:r>
              <w:t>El EBIT ajustado creció hasta los 390,5 millones de dólares en el tercer trimestre de 2016, lo que supone un incremento de 19,3 millones de dólares con respecto al tercer trimestre de 2015, mientras que el margen EBIT mejoró hasta el 14,6%.</w:t>
            </w:r>
          </w:p>
          <w:p>
            <w:pPr>
              <w:ind w:left="-284" w:right="-427"/>
              <w:jc w:val="both"/>
              <w:rPr>
                <w:rFonts/>
                <w:color w:val="262626" w:themeColor="text1" w:themeTint="D9"/>
              </w:rPr>
            </w:pPr>
            <w:r>
              <w:t>El beneficio neto ha sido de 273,8 millones de dólares, 16,6 millones más que en el mismo periodo de 2015, lo que representa un margen del 10,3%. Las ganancias por acción fueron de 89 centavos de dólar, un 11,3% más que los 80 centavos obtenidos durante el tercer trimestre de 2015.</w:t>
            </w:r>
          </w:p>
          <w:p>
            <w:pPr>
              <w:ind w:left="-284" w:right="-427"/>
              <w:jc w:val="both"/>
              <w:rPr>
                <w:rFonts/>
                <w:color w:val="262626" w:themeColor="text1" w:themeTint="D9"/>
              </w:rPr>
            </w:pPr>
            <w:r>
              <w:t>El efectivo generado durante el trimestre por las actividades operativas fue de 351,7 millones, el 13,2% de los ingresos. En los últimos doce meses, CGI ha generado 1.400 millones de dólares, lo que significa 4,40 dólares en efectivo por acción diluida.</w:t>
            </w:r>
          </w:p>
          <w:p>
            <w:pPr>
              <w:ind w:left="-284" w:right="-427"/>
              <w:jc w:val="both"/>
              <w:rPr>
                <w:rFonts/>
                <w:color w:val="262626" w:themeColor="text1" w:themeTint="D9"/>
              </w:rPr>
            </w:pPr>
            <w:r>
              <w:t>Durante este trimestre, la deuda neta se ha reducido en 278 millones de dólares siendo actualmente de 1.600 millones de dólares. A finales de junio, la compañía tenía 1.800 millones de dólares disponibles en efectivo y líneas de crédito no utilizadas.</w:t>
            </w:r>
          </w:p>
          <w:p>
            <w:pPr>
              <w:ind w:left="-284" w:right="-427"/>
              <w:jc w:val="both"/>
              <w:rPr>
                <w:rFonts/>
                <w:color w:val="262626" w:themeColor="text1" w:themeTint="D9"/>
              </w:rPr>
            </w:pPr>
            <w:r>
              <w:t>El CEO de CGI, Michael E. Roach ha indicado: "Hemos logrado unos resultados muy equilibrados, con todos los indicadores clave de rendimiento que muestran como mejoramos año tras año. Seguimos experimentando una creciente demanda en todos nuestros servicios y soluciones, lo que refuerza nuestra estrategia de ser los socios tecnológicos de confianza en los sistemas legacy y en la transformación digital de nuestros clientes. Nuestros servicios de outsourcing transformacional permiten a nuestros clientes reducir sus costes, e invertir en su agenda orientada al “cambio” y aprovechar los servicios tales como la seguridad y la automatización, que son respaldados por nuestra amplia cartera de soluciones IP que aceleran la transformación digital de nuestros clientes".</w:t>
            </w:r>
          </w:p>
          <w:p>
            <w:pPr>
              <w:ind w:left="-284" w:right="-427"/>
              <w:jc w:val="both"/>
              <w:rPr>
                <w:rFonts/>
                <w:color w:val="262626" w:themeColor="text1" w:themeTint="D9"/>
              </w:rPr>
            </w:pPr>
            <w:r>
              <w:t>Nota: Todas las cifras se encuentran en dólares canadienses. Q3-F2016 MD  and  A, los estados financieros consolidados intermedios condensados ??y notas adjuntas se pueden encontrar en cgi.com/investors y se han presentado ante SEDAR tanto en Canadá como en Edgar en los EE.UU.</w:t>
            </w:r>
          </w:p>
          <w:p>
            <w:pPr>
              <w:ind w:left="-284" w:right="-427"/>
              <w:jc w:val="both"/>
              <w:rPr>
                <w:rFonts/>
                <w:color w:val="262626" w:themeColor="text1" w:themeTint="D9"/>
              </w:rPr>
            </w:pPr>
            <w:r>
              <w:t>Sobre CGIFundada en 1976, CGI Group Inc. es la quinta mayor empresa independiente de tecnologías de información y procesos de negocio del mundo. Aproximadamente 65.000 profesionales atienden a miles de clientes globales desde sus oficinas y centros de servicios ubicados en toda América, Europa y Asia-Pacífico, prestando una amplia oferta de servicios, que incluye consultoría estratégica y TI, integración de sistemas, desarrollo y mantenimiento de aplicaciones y gestión de infraestructuras, así como 150 soluciones propias. Con unos ingresos anuales superiores a los C$10 mil millones y una cartera de pedidos de más de C$20 mil millones, las acciones de CGI cotizan en el TSX (GIB.A) y en el NYSE (GIB). Página Web: www.cgi.com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Paulino Baena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636833831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https://www.notasdeprensa.es/cgi-la-quinta-consultora-ti-del-mundo-factura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