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05/11/2019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Cenor continúa el proceso de renovación de sus tiendas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más los puntos venta que se suman al Proyecto Avanza Cenor. Esta vez, se trata de Cenor Carballo, uno de los puntos de venta más recientes de la marca y que está a punto de cumplir su primer aniversario desde su reapertura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Plan Avanza, es el resultado de la actualización de la marca y del estilo visual de la misma. Este proyecto, desarrollado de la mano del estudio de diseño Costa, busca un punto de venta más actual y tecnológico. La compra se convierte en una experiencia más sensorial y agradable para el cliente, siempre con la cercanía y la confianza de los expertos asesores de venta de Cenor. Este proceso culmina en tiendas más dirigidas a las necesidades del consumidor actual.</w:t>
            </w:r>
          </w:p>
          <w:p>
            <w:pPr>
              <w:ind w:left="-284" w:right="-427"/>
              <w:jc w:val="both"/>
              <w:rPr>
                <w:rFonts/>
                <w:color w:val="262626" w:themeColor="text1" w:themeTint="D9"/>
              </w:rPr>
            </w:pPr>
            <w:r>
              <w:t>Cenor Carballo, cuenta con un amplio local de más de 1000 m2 a dos niveles, uno de ellos destinado a la gama de producto y otro a exposición de cocinas de diseño. Como novedad, el local cuenta con un “espacio de gaming” dedicado al público más joven.</w:t>
            </w:r>
          </w:p>
          <w:p>
            <w:pPr>
              <w:ind w:left="-284" w:right="-427"/>
              <w:jc w:val="both"/>
              <w:rPr>
                <w:rFonts/>
                <w:color w:val="262626" w:themeColor="text1" w:themeTint="D9"/>
              </w:rPr>
            </w:pPr>
            <w:r>
              <w:t>Al frente del negocio se encuentra Cristina Seoane, experta en Publicidad y Relaciones Públicas y especializada en Creación y Comunicación Digital por la Universidad de A Coruña. Su formación le permite liderar un equipo de cinco profesionales y aportar un gran valor en el asesoramiento a sus clientes y en la comunicación del punto de venta.</w:t>
            </w:r>
          </w:p>
          <w:p>
            <w:pPr>
              <w:ind w:left="-284" w:right="-427"/>
              <w:jc w:val="both"/>
              <w:rPr>
                <w:rFonts/>
                <w:color w:val="262626" w:themeColor="text1" w:themeTint="D9"/>
              </w:rPr>
            </w:pPr>
            <w:r>
              <w:t>Cenor, con una clara intención y compromiso de ofrecer lo mejor a sus clientes, está trabajando ya en otros dos puntos de venta. El primero, apunto de inaugurarse en Barrañaín, Pamplona y el segundo, en Avilés, Asturias.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Cenor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981 536 640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https://www.notasdeprensa.es/cenor-continua-el-proceso-de-renovacion-de-sus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Galicia Asturias Cantabria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