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Cecubo Group, única agencia española ganadora en los AMEC Awards por su trabajo para medir la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fue premiada con el Oro en los AMEC Awards 2018 por un proyecto desarrollado en colaboración con Cetelem-BNP Paribas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Cecubo Group fue la única agencia española galardonada en los AMEC Awards 2018, los premios más prestigiosos del sector de la Comunicación y las Relaciones Públicas en Europa.</w:t>
            </w:r>
          </w:p>
          <w:p>
            <w:pPr>
              <w:ind w:left="-284" w:right="-427"/>
              <w:jc w:val="both"/>
              <w:rPr>
                <w:rFonts/>
                <w:color w:val="262626" w:themeColor="text1" w:themeTint="D9"/>
              </w:rPr>
            </w:pPr>
            <w:r>
              <w:t>En concreto, Cecubo Group fue premiada con el Oro en los AMEC Awards en la categoría de Mejor medición de una campaña business to business, por el trabajo desarrollado en colaboración con Cetelem-BNP Paribas.</w:t>
            </w:r>
          </w:p>
          <w:p>
            <w:pPr>
              <w:ind w:left="-284" w:right="-427"/>
              <w:jc w:val="both"/>
              <w:rPr>
                <w:rFonts/>
                <w:color w:val="262626" w:themeColor="text1" w:themeTint="D9"/>
              </w:rPr>
            </w:pPr>
            <w:r>
              <w:t>El galardón, entregado en la gala AMEC celebrada en Barcelona, reconoce el sistema de indicadores de reputación mediática implantados en Cetelem para facilitar la comunicación y llevar un control del posicionamiento de marca de la compañía en los medios de comunicación. El premio fue recogido por Carlos Gómez, miembro del equipo de Cecubo Group.</w:t>
            </w:r>
          </w:p>
          <w:p>
            <w:pPr>
              <w:ind w:left="-284" w:right="-427"/>
              <w:jc w:val="both"/>
              <w:rPr>
                <w:rFonts/>
                <w:color w:val="262626" w:themeColor="text1" w:themeTint="D9"/>
              </w:rPr>
            </w:pPr>
            <w:r>
              <w:t>Entre los finalistas de esta categoría estaban consultoras internacionales como Prime Research y su trabajo para Airbus (premio de Plata); Isentia y su proyecto para el Commonwealth Bank of Australia (premio de Plata); Globalnews Group (premio de Bronce); y Carma (finalista).</w:t>
            </w:r>
          </w:p>
          <w:p>
            <w:pPr>
              <w:ind w:left="-284" w:right="-427"/>
              <w:jc w:val="both"/>
              <w:rPr>
                <w:rFonts/>
                <w:color w:val="262626" w:themeColor="text1" w:themeTint="D9"/>
              </w:rPr>
            </w:pPr>
            <w:r>
              <w:t>Boris Gayoso y Carlos Correa, fundadores de Cecubo Group, aseguran que “este premio es fruto de un intenso trabajo de tres años con Cetelem-BNP Paribas, así como del esfuerzo, creatividad y empuje del amplio equipo de profesionales que componen nuestra consultora y de los que nos sentimos orgullosos”.</w:t>
            </w:r>
          </w:p>
          <w:p>
            <w:pPr>
              <w:ind w:left="-284" w:right="-427"/>
              <w:jc w:val="both"/>
              <w:rPr>
                <w:rFonts/>
                <w:color w:val="262626" w:themeColor="text1" w:themeTint="D9"/>
              </w:rPr>
            </w:pPr>
            <w:r>
              <w:t>“Queremos dar de nuevo las gracias al departamento de Comunicación de Cetelem España, liderado por Joaquín Mouriz, y a su equipo, en especial a Maribel Silva, por la confianza depositada en Cecubo Group para desarrollar este ambicioso proyecto”, añaden Boris Gayoso y Carlos Correa.</w:t>
            </w:r>
          </w:p>
          <w:p>
            <w:pPr>
              <w:ind w:left="-284" w:right="-427"/>
              <w:jc w:val="both"/>
              <w:rPr>
                <w:rFonts/>
                <w:color w:val="262626" w:themeColor="text1" w:themeTint="D9"/>
              </w:rPr>
            </w:pPr>
            <w:r>
              <w:t>“Agradecemos por supuesto al jurado su valoración de nuestro proyecto y felicitamos al resto de ganadores y finalistas, por contribuir con sus ideas y trabajos a poner en valor el análisis y la medición en el sector de la comunicación”, concluyen. Estos premios, concedidos por la Asociación Internacional para la Medición y Evaluación de la Comunicación (AMEC), reconocen los mejores proyectos anuales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 (Comunicación de Cecubo)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626551255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https://www.notasdeprensa.es/cecubo-group-unica-agencia-espanola-ganadora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