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02/03/2017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la mitad de las empresas de reformas prevé importantes proyectos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Las perspectivas del sector de las reformas son optimistas de cara al año recién comenzado tras haber cerrado el curso 2016 con un aumento significativo de la facturación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perspectivas del sector de las reformas son optimistas de cara al año recién comenzado tras haber cerrado el curso 2016 con un aumento significativo de la facturación.</w:t>
            </w:r>
          </w:p>
          <w:p>
            <w:pPr>
              <w:ind w:left="-284" w:right="-427"/>
              <w:jc w:val="both"/>
              <w:rPr>
                <w:rFonts/>
                <w:color w:val="262626" w:themeColor="text1" w:themeTint="D9"/>
              </w:rPr>
            </w:pPr>
            <w:r>
              <w:t>Albañiles, fontaneros o pintores en Madrid baratos son algunos de los gremios que han conseguido cerrar el año 2016 con unos buenos datos económicos. Lo mejor es que las previsiones para 2017 son incluso mejores. O eso es lo que se extrae de un informe realizado y publicado por el portal Habitissimo y tras haber llevado a cabo una encuesta a más de 1.500 profesionales y compañías del sector.</w:t>
            </w:r>
          </w:p>
          <w:p>
            <w:pPr>
              <w:ind w:left="-284" w:right="-427"/>
              <w:jc w:val="both"/>
              <w:rPr>
                <w:rFonts/>
                <w:color w:val="262626" w:themeColor="text1" w:themeTint="D9"/>
              </w:rPr>
            </w:pPr>
            <w:r>
              <w:t>Como decimos, las expectativas de crecimiento son ahora mucho mayores que hace unos años cuando explotó la crisis económica, afectando al ladrillo y la construcción de manera más profunda que a cualquier otro segmento de la actividad en España. Durante esos años oscuros, las pequeñas reformas fueron el flotador del sector para sobrevivir.</w:t>
            </w:r>
          </w:p>
          <w:p>
            <w:pPr>
              <w:ind w:left="-284" w:right="-427"/>
              <w:jc w:val="both"/>
              <w:rPr>
                <w:rFonts/>
                <w:color w:val="262626" w:themeColor="text1" w:themeTint="D9"/>
              </w:rPr>
            </w:pPr>
            <w:r>
              <w:t>Por suerte, parece que el lento pero paulatino crecimiento actual está modificando ese patrón. Pese al crecimiento en proyectos de obra nueva, parece que hoy en día las grandes reformas y proyectos de impacto vuelven a ser más demandados. Así, los trabajos por importes superiores a 30.000 euros son ya un 8% del total. Junto a ellos, los que se encuentran entre los 3.000 y los 6.000 euros de gasto se han duplicado, pasando de un 4 a un 8% final.</w:t>
            </w:r>
          </w:p>
          <w:p>
            <w:pPr>
              <w:ind w:left="-284" w:right="-427"/>
              <w:jc w:val="both"/>
              <w:rPr>
                <w:rFonts/>
                <w:color w:val="262626" w:themeColor="text1" w:themeTint="D9"/>
              </w:rPr>
            </w:pPr>
            <w:r>
              <w:t>La mayoría de profesionales del sector, como albañiles, electricistas o pintores en Madrid baratos tienen altas expectativas para este 2017. Según el informe hecho público en su web por Habitissimo, el 45% de las empresas prevé grandes proyectos para este nuevo curso, mientras que el 43% cree que serán iguales que en años anteriores.</w:t>
            </w:r>
          </w:p>
          <w:p>
            <w:pPr>
              <w:ind w:left="-284" w:right="-427"/>
              <w:jc w:val="both"/>
              <w:rPr>
                <w:rFonts/>
                <w:color w:val="262626" w:themeColor="text1" w:themeTint="D9"/>
              </w:rPr>
            </w:pPr>
            <w:r>
              <w:t>A este dato optimista hay que unir otro explicado en la publicación de este portal especializado: Cuatro de cada cinco empresas consiguieron aumentar su facturación durante el 2016 con respecto a 2015.</w:t>
            </w:r>
          </w:p>
          <w:p>
            <w:pPr>
              <w:ind w:left="-284" w:right="-427"/>
              <w:jc w:val="both"/>
              <w:rPr>
                <w:rFonts/>
                <w:color w:val="262626" w:themeColor="text1" w:themeTint="D9"/>
              </w:rPr>
            </w:pPr>
            <w:r>
              <w:t>Así, de todas ellas, aproximadamente el 30% han conseguido aumentar entre un 10 y un 20%, mientras que un tercio más lo ha hecho a un ritmo más modesto, entre el 1 y el 10%. Para terminar, un cuarto de todas ellas ha crecido a un increíble ritmo del 20%.</w:t>
            </w:r>
          </w:p>
          <w:p>
            <w:pPr>
              <w:ind w:left="-284" w:right="-427"/>
              <w:jc w:val="both"/>
              <w:rPr>
                <w:rFonts/>
                <w:color w:val="262626" w:themeColor="text1" w:themeTint="D9"/>
              </w:rPr>
            </w:pPr>
            <w:r>
              <w:t>Se trata de la confirmación de los buenos resultados que obtiene un sector que comienza a despegar tras años de crisis. Así, electricistas, fontaneros, albañiles o pintores en Madrid económicos ven el futuro profesional con más optimismo.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Vázquez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https://www.notasdeprensa.es/casi-la-mitad-de-las-empresas-de-reformas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Madrid Cursos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