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Brand &gt; Impact 2013 – Factores de Impacto en las MarcasVídeo acto de presentación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Madrid, 8 de abril de 2013.Brand &gt; Impact 2013 – Factores de Impacto en las Marcas es un riguroso estudio realizado por el instituto de investigación GfK que presenta en primicia la opinión de destacados profesionales de marketing y branding de empresas líderes de nuestro país, acerca e los diferentes factores que más han repercutido – positiva y/o negativamente – en nuestras marcas durante el último año.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Brand &gt; Impact 2013, conseguir un posicionamiento diferenciado y una correcta fidelización son los dos factores más valorados por los profesionales de marketing y branding españoles para el buen desarrollo y éxito de una marca, con un ratio de importancia de un 80 y 79 %, respectivamente.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Asociación de Marketing de España en colaboración con Coleman CBX presentó el estudio en un concurrido acto que tuvo lugar el 6 de marzo en CaixaForum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Adjuntamos link de acceso al vídeo de las diferentes ponencias e intervenciones de la jornada.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Link: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http://www.observatoriodebranding.org/Galeria-multimedia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http://www.observatoriodebranding.org/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https://www.notasdeprensa.es/brand-impact-2013-factores-de-impacto-en-las-marcasvideo-acto-de-presentacion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