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26/05/2016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 Bosanova más joven que nunca. Cambio de imagen corporativa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Bosanova culmina su cambio de imagen con el lanzamiento de su nueva Tienda Online www.bosanova.es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célebre firma catalana de bolsos y zapatos decide seducir a todos sus clientes con el lanzamiento de su nueva tienda online, www.bosanova.es, dándole un cambio de 360º, con un nuevo diseño mucho más atractivo y actual.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marca sigue atrayendo a su público con sus diseños más atractivos, los precios más ajustados y la experiencia de 30 años de profesión. Si algo avala a esta compañía es el conocimiento de la mujer en la moda, pensando en todos sus complementos, desde el más urbano al más clásico. Los tiempos cambian y la moda con ellos. Bosanova lo ha conseguido modernizando su imagen, tiendas, diseños y comunicación. Un cambio que no va a dejar indiferente a nadie.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Fruto de este trabajo, nace un logotipo más moderno y dinámico, al que acompañan nuevas aplicaciones corporativas con diseños frescos. La marca también reinventa la infraestructura de sus tiendas, a través de un interiorismo moderno y joven que combina materiales orgánicos con colores.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Bosanova eleva de nivel su comunicación online mediante el nuevo ecommerce y una gran puesta en escena en redes sociales como Instagram (@bosanovaoficial) y Facebook. Desde el pasado año se está llevando a cabo la expansión fuera de la provincia de Barcelona y, con ello, hicieron su primera apertura en Gerona.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inversión realizada Bosanova espera mantenerse fuerte en el mercado catalán como una marca referente en moda y tendencias, al igual que potenciar su posición en el mercado online a nivel nacional.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Miriam Salas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936895323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https://www.notasdeprensa.es/bosanova-mas-joven-que-nunca-cambio-de-imagen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Marketing Sociedad Cataluña E-Commerce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