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para los Másteres Semipresenciales del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abre un concurso de becas para sus másteres semipresenciales, pertenecientes a las ramas de moda, diseño, interiorismo y gestión de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IED Madrid se promueve y apoya el talento a través de sus Concursos de Becas. Un reconocimiento al talento, otorgando dos becas por programa, que cubre para los ganadores el 50% del importe de la tasa total del máster.</w:t>
            </w:r>
          </w:p>
          <w:p>
            <w:pPr>
              <w:ind w:left="-284" w:right="-427"/>
              <w:jc w:val="both"/>
              <w:rPr>
                <w:rFonts/>
                <w:color w:val="262626" w:themeColor="text1" w:themeTint="D9"/>
              </w:rPr>
            </w:pPr>
            <w:r>
              <w:t>Los Másteres del IED Madrid son programas de alto nivel ligados a la realidad del mundo laboral, actualizados anualmente, impartidos por profesionales en activo y en colaboración con empresas e instituciones a través de proyectos reales. En el caso de los másteres ofertados en este programa de becas, son de nueve meses de duración en formato blended (online y presencial) con fecha de inicio en febrero 2019. Los programas para los que se podrán solicitar las becas de la presente convocatoria pertenecen a las ramas de moda, diseño, interiorismo y gestión de eventos: Brand Design, Brand Management, Comunicación y Marketing Digital de Moda (en inglés), Customer Experience Excellence, Diseño de Interiores, Diseño de Moda, Fashion Management (en inglés) y Organización, Dirección y Gestión de Eventos.</w:t>
            </w:r>
          </w:p>
          <w:p>
            <w:pPr>
              <w:ind w:left="-284" w:right="-427"/>
              <w:jc w:val="both"/>
              <w:rPr>
                <w:rFonts/>
                <w:color w:val="262626" w:themeColor="text1" w:themeTint="D9"/>
              </w:rPr>
            </w:pPr>
            <w:r>
              <w:t>Para participar, hay que mandar portfolio y carta de motivación a través de un formulario. La fecha límite para recibir trabajos es el 6 de noviembre, y comunicará el ganador el 15 de noviembre.</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637118941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https://www.notasdeprensa.es/becas-para-los-masteres-semipresenciales-del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Marketing Madrid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