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obtiene un beneficio neto de 167,7 millones de euros, un 35,9% superior al del mismo período del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cubiertos los seis primeros meses del ejercicio, Banco Sabadell obtiene un beneficio neto de 167,7 millones de euros, un 35,9% superior al registrado tras el mismo período del año anterior, una vez destinados 1.415,3 millones de euros a dotaciones ordinarias y anticipadas sobre la cartera de crédito y otros activos.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ocurriera al cierre del primer trimestre, los márgenes crecen más de lo esperado por el consenso de mercado y, por segundo trimestre consecutivo, la morosidad disminuye y sigue reduciéndose también el saldo de activos dudosos y problemáticos. 		Con el foco puesto en el cumplimiento del objetivo prioritario de rentabilidad fijado en el Plan Triple 2014-2016, Banco Sabadell ha cerrado el segundo trimestre del ejercicio evidenciando la buena dinámica de su balance y una sólida progresión, asentada fundamentalmente en la fuerte generación de ingresos recurrentes, el riguroso control de los costes, el incremento de los volúmenes de negocio y una eficaz gestión de la cartera de activos inmobiliarios a través de la inmobiliaria Solvia. 		Balance 	Al cierre del segundo trimestre de 2014, los activos totales de Banco Sabadell y su grupo suman 161.557,1 millones de euros. 		La inversión crediticia bruta de clientes disminuye un 2,4% en la comparación interanual y se sitúa en los 122.837,6 millones de euros. El componente con mayor peso en este capítulo del balance -un 45% del total de la inversión crediticia bruta actualmente- son los préstamos con garantía hipotecaria, que, a 30 de junio de 2014, presentan un saldo de 55.425,9 millones de euros. En esta misma fecha y de un año a otro, la nueva producción hipotecaria crece un 54% en número y un 61% en volumen. 		 Al cierre de junio, Banco Sabadell se mantiene como un referente en España de la financiación empresarial subvencionada por el Instituto de Crédito Oficial, con una cuota del 19,35%. Las operaciones formalizadas superan los 2.000 millones de euros y el 80,6% de estas corresponden a líneas de crédito específicas para empresas y emprendedores.   		Cubierta la primera mitad del ejercicio, la ratio de morosidad, calculada sobre el total de riesgos computables del grupo Banco Sabadell y sin considerar los activos afectos al Esquema de Protección de Activos (EPA) de Banco CAM, disminuye por segundo trimestre consecutivo y se sitúa en el 13,35% (22 puntos básicos menos que al cierre del trimestre anterior y 28 puntos básicos desde el inicio del ejercicio). 		La ratio de cobertura sobre el total de la exposición crediticia y la cartera de inmuebles es del 13,8% (el 9,7% exEPA) frente al 13,4% de 30 de junio de 2013, manteniéndose entre las más altas del sistema. Al cierre trimestral, el saldo de dudosos exEPA sigue reduciéndose y los activos problemáticos exEPA disminuyen por segundo trimestre consecutivo. 		Los recursos de clientes en balance presentan un saldo, a 30 de junio de 2014, de 95.043,2 millones de euros y aumentan un 2,3% interanual. 		Destaca en este apartado la positiva evolución de las cuentas a la vista, cuyo saldo es de 39.418,1 millones de euros, un 14,1% más que al cierre de junio de 2013. Los depósitos a plazo, que suman 58.903,3 millones de euros, se reducen un 3,4% en relación con el cierre del segundo trimestre del año anterior, en línea con la tendencia general del mercado de orientar los recursos hacia productos externos al balance con mejores expectativas de rentabilidad y mayor aportación al margen. 		Consecuentemente a este creciente trasvase de recursos, el patrimonio en fondos y sociedades de inversión colectiva se incrementa un 41,4% interanual y alcanza un saldo de 13.704,8 millones de euros (+24,4% en los primeros seis meses de 2014). Los fondos mixtos y de renta variable -los que mayor aportación hacen al capítulo de ingresos por comisiones- son los que más crecen al aumentar un 22,8% y un 14,1% interanual, respectivamente. 		Los fondos de pensiones comercializados mantienen asimismo una tendencia al alza en el mismo período y suman un patrimonio de 4.375,1 millones de euros, un 17,7% superior al existente al cierre del segundo trimestre de 2013. Los seguros comercializados presentan un saldo de 7.916,2 millones de euros y crecen un 8,6% interanual a 30 de junio de 2014. El total de recursos de clientes fuera de balance crece un 29,5% de un año a otro hasta los 28.596,7 millones de euros. 		La diferente evolución de la inversión crediticia bruta y de los recursos de clientes en balance en estos primeros seis meses de 2014 permite que la ratio LTD ( loan to deposit) mantenga su favorable evolución trimestral y se sitúe ya en el 103,6% (111,0% en junio de 2013), muy cerca del objetivo fijado en el Plan Triple 2014-2016 del 100%. 		A 30 de junio de 2014, el total de recursos gestionados asciende a 153.188,0 millones de euros y aumenta un 6,0% en relación con la misma fecha del año anterior. 		Cuenta de resultados 	La efectiva gestión de los diferenciales de clientes, unida al menor coste de la financiación, y la ampliación del perímetro de consolidación permiten incrementar, por cuarto trimestre consecutivo, el margen de intereses, que suma 1.076,0 millones de euros y crece un 24,3% de un año a otro. 		Los dividendos e ingresos aportados por las empresas que consolidan por el método de la participación ascienden a 8,5 millones de euros en el primer semestre del año (3,4 millones de euros tras el segundo trimestre de 2013). 		Tras los seis primeros meses, los ingresos netos por comisiones mejoran sustancialmente y crecen un 16,2% con respecto al mismo período del año 2013 y suman 414,5 millones de euros, fundamentalmente por los servicios bancarios y la buena evolución de los recursos gestionados fuera de balance, cuya aportación a este epígrafe de la cuenta de resultados consolidada aumenta un 10,9% y un 62,1% interanual, respectivamente. 		Los resultados por operaciones financieras y diferencias de cambio totalizan 1.171,2 millones de euros (+11,9%) e incluyen 1.083,5 millones de euros por la venta de activos financieros disponibles para la venta de renta fija. Las dotaciones al fondo de garantía de depósitos totalizan 85,5 millones de euros. Con todo ello, el margen bruto trimestral aumenta un 18,2% y alcanza los 2.598,1 millones de euros. 		A 30 de junio de 2014, los gastos de explotación ascienden a 903,1 millones de euros, de los que 36,9 millones de euros corresponden a conceptos no recurrentes, derivados de la adquisición de los negocios incorporados a lo largo de 2013. En términos de perímetro constante, los gastos de explotación del primer semestre de 2014 se reducen un 5,6% en la comparación interanual.  	 	Como resultado de todo lo expuesto, Banco Sabadell cierra el segundo trimestre de 2014 con un margen o beneficio antes de dotaciones de 1.559,0 millones de euros, que es un 21,6% superior al obtenido en la misma fecha del año pasado. 		El incremento del margen bruto y la contención de los costes de explotación permiten mejorar la ratio de eficiencia y situarla en el 55,57% al cierre de junio de 2014 (el 60,04% en junio de 2013), excluyendo los resultados no recurrentes de las operaciones financieras. 		Las dotaciones para insolvencias y otros activos totalizan 1.415,3 millones de euros. Los resultados no recurrentes obtenidos por operaciones financieras se han destinado a efectuar dotaciones adicionales incluidas en este mismo importe, incrementando así las coberturas y acelerando la reducción del riesgo futuro. 		Las plusvalías por ventas de activos incluyen un ingreso extraordinario de 80 millones de euros por la firma del contrato de reaseguro de la cartera de seguros individuales de vida-riesgo de Mediterráneo Vida con la compañía SCOR Global Life, anunciado el pasado mes de mayo. 		A 30 de junio de 2014, una vez aplicados el impuesto sobre beneficios (53,6 millones de euros) y la parte del resultado correspondiente a minoritarios, el beneficio neto atribuido a Banco Sabadell y su grupo asciende a 167,7 millones de euros y es un 35,9% superior al resultado obtenido en la misma fecha del año 2013 (123,4 millones de euros).   		En fecha 30 de junio de 2014, Banco Sabadell se mantiene entre las entidades más sólidas y mejor capitalizadas del sistema, con una ratio de core capital del 11,4% (9,6% a 30 de junio de 2013). La ratio BIS III se sitúa en el 12,4% (10,3% a 30 de junio de 2013). El patrimonio neto crece un 17,9% y suma 10.837,9 millones de euros. 		Otros hechos destacados en el segundo trimestre de 2014	 Solvia: mejores cifras de ventas 	 Al cierre del segundo trimestre, Solvia ( www.solvia.es), la inmobiliaria del grupo, consolida su liderazgo en el mercado y mantiene un buen nivel de ventas en relación con el mismo período del año anterior, con un total de 7.541 unidades, el 30% de las cuales han sido asimismo financiadas. El valor de las transacciones realizadas en estos primeros seis meses crece un 7% y suma 1.319 millones de euros (662 millones de euros en el segundo trimestre).  		 La introducción del alquiler en la comercialización minorista, el  servicing a terceros, la introducción de la realidad virtual en la comercialización y la combinación de venta mayorista y venta minorista caracterizan un primer semestre en el que Solvia ha visto incrementar su notoriedad de marca entre los compradores. 		Ampliación de la joint venture con Zurich 	En este segundo trimestre de 2014, Banco Sabadell ha suscrito un acuerdo con la compañía de seguros Zurich para convertirse en proveedor exclusivo de los seguros de vida, planes de pensiones y seguros generales para toda España. Este nuevo acuerdo, que se ha alcanzado tras una estrecha y fructífera relación de más de cinco años, amplía y consolida la joint venture formalizada por ambas entidades en 2008.   		Con este acuerdo, Banco Sabadell culmina la reorganización de su negocio de seguros, una vez efectuada la integración del negocio y las compañías aseguradoras incorporadas en el proceso de consolidación bancaria protagonizado en los últimos años. El importe de la operación asciende a 214 millones de euros, de los que Zurich, como socio del 50% de las sociedades de la joint venture, aportará 107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https://www.notasdeprensa.es/banco-sabadell-obtiene-un-beneficio-neto-de_2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