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formaliza un contrato de reaseguro de la cartera de seguros individuales de vida-riesgo de Mediterráneo Vida con SCOR Global Life y obtiene 82 millones de euros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ha llegado a un acuerdo con SCOR Global Life Reinsurance Ireland, PLC para formalizar un contrato de reaseguro sobre la cartera de seguros individuales de vida-riesgo procedentes de Mediterráneo Vida. SCOR Global Life abonará a la filial de Banco Sabadell por este contrato un total aproximado de 82 millones de euros, en concepto de comisión de reaseguro.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Ignacio Camí, subdirector general de Banco Sabadell, “esta operación se inscribe en el proceso de reordenación de nuestro grupo asegurador y supone un importante paso en la puesta en valor de una cartera de seguros que, a 31 de diciembre de 2013, se componía de 162.000 pólizas y primas por 31 millones de euros”.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virtud del contrato suscrito, SCOR Global Life asumirá los riesgos sobre la cartera en relación a su cuota parte de participación y Banco Sabadell seguirá comercializando seguros de vida a través de las aseguradoras de su grupo y su red comercial.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https://www.notasdeprensa.es/banco-sabadell-formaliza-un-contrato-de_1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