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16/03/2017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Andalucía y Murcia, principales productores de flores y plantas vivas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salida de la crisis económica ha sido uno de los principales factores señalados por expertos para explicar el aumento notable en el número total de divorcios y separaciones en España en los últimos tiempos. Otra clave importante que se ha señalado es la de la simplificación de todos los trámites para completar este procedimiento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flores y plantas en España sigue tratando de superar una crisis que trajo consigo cambios estructurales muy importantes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es más habitual encontrar todo tipo de floristería online en Madrid, en Barcelona, en Sevilla o en cualquier otra ciudad española. Sin embargo, los locales físicos van desapareciendo poco a poco, sumidos en una crisis sectorial que viene de lejos y que ha provocado no pocos cambios en un sector con bastante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los productos de la horticultura viva representan el 4,3% del total de la producción vegetal. En el año 2010, los cultivos dedicados a esta actividad se extendían por más de 6.800 hectáreas, generando un valor superior a los 900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simple vista podría parecer algo escaso, pero lo cierto es que la importancia del sector es mucho mayor en aquellas regiones productoras en las que el cultivo de flores o plantas supone un gran impulso a la economía y al desarrollo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los clientes puedan hacer uso de su floristería online en Madrid, Barcelona, Valencia o cualquier otra ciudad, antes existe un amplio proceso de cultivo, recogida, selección y transporte que ocupa a un considerable número de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este segmento de la actividad ofrece empleo directo a 50.000 personas, concentrándose principalmente en varias comunidades autónomas que sustentan el principal peso de la producción. De hecho, son varias las poblaciones que dependen casi en exclusividad de este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según datos de Fepex (Federación Española de Asociaciones de Productores Exportadores de Frutas, Hortalizas, Flores y Plantas), el 50% de la producción nacional de flor cortada se localiza en Andalucía. Tras ella se situaría Murcia con un 17% y Galicia con un 14%. La siguiente comunidad se encuentra ya a bastante distancia. Así Canarias cuenta con un 7% de la producción nacional y la Comunidad Valencia el 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cambio, centrando el foco de atención en la producción de planta viva, es Cataluña la que lidera las estadísticas con un 43% del total, seguida de Valencia (28%), Andalucía (18%) y Galicia (4%).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sector vive momentos de reconversión, apostando gran parte de sus ventas al mercado internacional y también al online. La subida del IVA del 8 al 21% supuso un gran golpe a productores, cooperativas y vendedores. Por ello, desde Flores Viridia se hizo una gran apuesta por el e-commerce. Las opciones de floristería en Internet en Madrid, Barcelona o cualquier otra ciudad son una realidad muy utilizada a día de hoy casi por encima del negocio físico tradicional.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Vázquez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https://www.notasdeprensa.es/andalucia-y-murcia-principales-productores-de_1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Andalucia Ecología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