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sigue a la cabeza del sector inmobiliario de lujo, según el Colegio de Registradores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Cataluña y Baleares son las comunidades autónomas más atractivas para inversores extranjeros, aunque la Comunidad Valenciana comienza a reactivarse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viviendas de lujo mantiene las comunidades autónomas de Andalucía, Cataluña y Baleares como las zonas más atractivas para los inversores extranjeros. Además de estas zonas, la Comunidad Valenciana ha comenzado a reactivarse en la compra de viviendas de lujo, creciendo un 40% respecto a 2017. A pesar de esos buenos datos, Valencia todavía está lejos de zonas más atractivas para los compradores como Andalucía, Cataluña o Baleares. En relación a estas zonas destaca Andalucía, con empresas como La Reserva con propiedades en Sotogrande.Según los datos recogidos en el Anuario Inmobiliario del Colegio de Registradores de la Propiedad, la Comunidad Valenciana vendió 445 viviendas de lujo en el año 2018, con unos ingresos de al menos 225,5 millones de euros para los vendedores. Estos datos sitúan a esta comunidad a una buena posición pero solo supone el 2,18 por ciento de la venta total del ejercicio, muy lejos de las comunidades autónomas punteras: Andalucía, Baleares y Cataluña. Un panorama positivo para la compra de una villa de lujo en Sotogrande y en zonas de alta demanda turística del sur de España.Los compradores extranjeros con un alto poder adquisitivo prefieren las zonas anteriormente mencionadas para la adquisición de viviendas de más de 500.000 euros. En Andalucía se vendieron hasta 1.048 casas de este tipo, por otro lado, Baleares es la que más inmuebles de lujo vendió el año pasado en el país en términos relativos, ya que una de cada cinco viviendas vendidas a compradores extranjeros valía más de 500.000 euros. También se encuentra la comunidad de Cataluña, por delante de la Comunidad Valenciana, como una de las que más casas de lujo vende con 797 inmuebles.Por último, la situación de Madrid y las Islas Canarias también es positiva, aunque con unos números inferiores a las comunidades más altas de referencia. Madrid se sitúa con un 8,42 por ciento y Canarias con un 4,15 por ciento, ambas por delante de la Comunidad Valenciana.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Reserva Club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856559947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https://www.notasdeprensa.es/andalucia-sigue-a-la-cabeza-del-sector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