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Andalucía se situó en tercera posición en el uso de la factura electrónica en 2018, según el Estudio sobre el uso de la Factura Electrónica en España 2017-2018, elaborado por SERES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el 9,41% de las facturas electrónicas se emitieron en Andalucía y el 9,84% de las empresas emisoras fueron andaluzas. Andalucía ocupó también la tercera posición en volumen de facturas recibidas (8.65%) y de empresas receptoras (9%)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Andalucía renovó en 2018 la tercera posición en la utilización de la factura electrónica en España, según el Estudio sobre el uso de la Factura Electrónica en España 2017-2018, elaborado por SERES. Según el informe, el 9,41% de las facturas electrónicas se emitieron en Andalucía y el 9,84% de las empresas emisoras fueron andaluzas. Andalucía ocupó también la tercera posición en volumen de facturas recibidas (8.65%) y de empresas receptoras (9%).</w:t>
            </w:r>
          </w:p>
          <w:p>
            <w:pPr>
              <w:ind w:left="-284" w:right="-427"/>
              <w:jc w:val="both"/>
              <w:rPr>
                <w:rFonts/>
                <w:color w:val="262626" w:themeColor="text1" w:themeTint="D9"/>
              </w:rPr>
            </w:pPr>
            <w:r>
              <w:t>En el ranking de volumen de facturas emitidas, Andalucía se situó por detrás de Madrid y Cataluña y en el de empresas emisoras detrás de Madrid y la Comunidad Valenciana. Respecto a 2017, el número de facturas creció un 0,46% y el de empresas emisoras se redujo en un 1,39%.</w:t>
            </w:r>
          </w:p>
          <w:p>
            <w:pPr>
              <w:ind w:left="-284" w:right="-427"/>
              <w:jc w:val="both"/>
              <w:rPr>
                <w:rFonts/>
                <w:color w:val="262626" w:themeColor="text1" w:themeTint="D9"/>
              </w:rPr>
            </w:pPr>
            <w:r>
              <w:t>En recepción, Andalucía recibió el 8,65% de las facturas – un 0,32% menos que en 2017- y del total de las empresas receptoras, 9% fueron andaluzas -un 1% menos que el año anterior. En ambos casos, Andalucía aparece en tercera posición, detrás de Madrid y Cataluña.</w:t>
            </w:r>
          </w:p>
          <w:p>
            <w:pPr>
              <w:ind w:left="-284" w:right="-427"/>
              <w:jc w:val="both"/>
              <w:rPr>
                <w:rFonts/>
                <w:color w:val="262626" w:themeColor="text1" w:themeTint="D9"/>
              </w:rPr>
            </w:pPr>
            <w:r>
              <w:t>Por provinciasEn emisión de facturas, las provincias más activas fueron Granada (el 7,52% del total nacional) seguida de Sevilla (0,78%), Málaga (0,42%), Cádiz (0,20%), Almería y Jaén (0,15%), Córdoba (0,12%) y Huelva ( 0,07%). En volumen de empresa emisoras, las de Sevilla representaron el 3,71% del total, seguida por las de Granada (1,71%), Córdoba (1,06%), Málaga (0,97%), Cádiz (0,80%), Huelva (0,68%), Jaén (0,56%) y Almería (0,35%).</w:t>
            </w:r>
          </w:p>
          <w:p>
            <w:pPr>
              <w:ind w:left="-284" w:right="-427"/>
              <w:jc w:val="both"/>
              <w:rPr>
                <w:rFonts/>
                <w:color w:val="262626" w:themeColor="text1" w:themeTint="D9"/>
              </w:rPr>
            </w:pPr>
            <w:r>
              <w:t>Por su parte, por volumen de factura recibidas, Granada encabeza el ranking con el 4,44% del total nacional, seguida de Sevilla (1,73%), Málaga (0,87%), Cádiz (0,1%), Córdoba (0,45%), Jaén (0,27%), Almería (0,21%) y Huelva (0,17%).</w:t>
            </w:r>
          </w:p>
          <w:p>
            <w:pPr>
              <w:ind w:left="-284" w:right="-427"/>
              <w:jc w:val="both"/>
              <w:rPr>
                <w:rFonts/>
                <w:color w:val="262626" w:themeColor="text1" w:themeTint="D9"/>
              </w:rPr>
            </w:pPr>
            <w:r>
              <w:t>Finalmente, por volumen de empresas que recibieron facturas electrónicas, la primera posición corresponde a Sevilla (2,27%), seguida de Málaga (1,52%), Cádiz (1,16%), Córdoba (1,12%), Granada (1,04%), Huelva (0,80%), Jaén (0,56%) y Almería (0,53%).</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w:t>
            </w:r>
          </w:p>
          <w:p>
            <w:pPr>
              <w:ind w:left="-284" w:right="-427"/>
              <w:jc w:val="both"/>
              <w:rPr>
                <w:rFonts/>
                <w:color w:val="262626" w:themeColor="text1" w:themeTint="D9"/>
              </w:rPr>
            </w:pPr>
            <w:r>
              <w:t>Por tamaño de negocioPor tamaño, la mediana empresa representa el 45,48% de las empresas emisoras y el 37,57% de las receptoras, la pequeña empresa reúne al 23,8% de las emisoras y el 26,27% de la receptoras, la gran empresa supone el 22,48% de las emisoras y el 0,24% de las receptoras y, finalmente, las micro empresas representa el 8,24% de la emisión y el 17,78% de la recepción.</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eneros de este año.</w:t>
            </w:r>
          </w:p>
          <w:p>
            <w:pPr>
              <w:ind w:left="-284" w:right="-427"/>
              <w:jc w:val="both"/>
              <w:rPr>
                <w:rFonts/>
                <w:color w:val="262626" w:themeColor="text1" w:themeTint="D9"/>
              </w:rPr>
            </w:pPr>
            <w:r>
              <w:t>Por su parte, la obligatoriedad de la factura electrónica para los subcontratistas de las AAPP 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Resultan relevante, sobre todo de cara al futuro, el éxito internacional de la factura electrónica y los impulsos dados por la Unión Europea por normalizar su uso entre los países miembros. Un impulso a que ha permitido el desarrollo, a lo largo de 2018, de un nuevo formato común de factura electrónica cuyo uso que será de obligatorio uso en las contrataciones públicas europeas a partir del 18 de abril de 2019.</w:t>
            </w:r>
          </w:p>
          <w:p>
            <w:pPr>
              <w:ind w:left="-284" w:right="-427"/>
              <w:jc w:val="both"/>
              <w:rPr>
                <w:rFonts/>
                <w:color w:val="262626" w:themeColor="text1" w:themeTint="D9"/>
              </w:rPr>
            </w:pPr>
            <w:r>
              <w:t>En los últimos años -comenta Alberto Redondo, director de Marketing de SERES para Iberia y LATAM- se ha asistido a un fuerte crecimiento orgánico de la factura electrónica entre las empresas españolas, que va amplificando su capilaridad geográfica y sectorial. Un crecimientos que, según Redondo, mantienen las tendencias. Las medianas empresas siguen siendo el colectivo de usuarios de e-factura más importante y, al mismo ritmo, con menor escala, sigue creciente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inflexiónA pesar de la contracción del crecimiento económico en la zona euro, todo parece indicar que 2019 será un año muy importante para la universalización de la factura electrónica en la UE. El nuevo estándar europeo de factura electrónica, que será obligatorio en las relaciones B2G a partir del próximo 18 de abril, y las primera iniciativas nacionales que apuntan a una obligatoriedad general del uso de la e-factura serán el espaldarazo definitivo a la desmaterialización de la factura y al impulso del intercambio electrónico de otros documentos."La e-factura es una pieza clave de la trasformación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estudioEl Estudio analiza la implantación de la factura electrónica en el sector empresarial de España, ofreciendo datos tanto a nivel nacional como autonómico. El Estudio realiza una comparativa entre el primer semestre de 2017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Consultar los estudios aquí:</w:t>
            </w:r>
          </w:p>
          <w:p>
            <w:pPr>
              <w:ind w:left="-284" w:right="-427"/>
              <w:jc w:val="both"/>
              <w:rPr>
                <w:rFonts/>
                <w:color w:val="262626" w:themeColor="text1" w:themeTint="D9"/>
              </w:rPr>
            </w:pPr>
            <w:r>
              <w:t>es.groupseres.com/estudios-de-mercado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http://es.groupseres.com/facturaelectronica/obligatoriedad-proveedor-aapp</w:t>
            </w:r>
          </w:p>
          <w:p>
            <w:pPr>
              <w:ind w:left="-284" w:right="-427"/>
              <w:jc w:val="both"/>
              <w:rPr>
                <w:rFonts/>
                <w:color w:val="262626" w:themeColor="text1" w:themeTint="D9"/>
              </w:rPr>
            </w:pPr>
            <w:r>
              <w:t>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https://www.notasdeprensa.es/andalucia-se-situo-en-tercera-posicion-en-el_1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