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Subida en los mercados eléctricos europeos a pesar del aumento de la fotovoltaica y la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efecto dominó, el incremento previsto de las temperaturas para esta semana del 22 de julio está influenciando a varios mercados energéticos. A finales de la semana pasada ya se comenzaron a notar incrementos de precios en los mercados de gas, carbón y derechos de emisión de CO2, y esta semana empezó con subidas en los mercados de electricidad. Todo ello a pesar de la producción de las renovables y de la fotovoltaica en particular, que se incrementó en los principales mercados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CO2Los precios de los futuros del petróleo Brent para el mes de septiembre en el mercado ICE han acabado este viernes 19 de julio en 62,47 $/bbl, tras haberse estado negociando a la baja durante la semana pasada y alcanzar los 61,93 $/bbl el jueves 18 de julio, el precio de liquidación más bajo de la semana con una caída del 6,8% respecto al precio del lunes 15 de julio de 66,48 $/bbl. Este incremento en el precio del Brent se ha visto condicionado por la nueva escalada de las tensiones geopolíticas entre Estados Unidos e Irán de finales de la semana pasada, a pesar de la presión a la baja por las tensiones comerciales entre Estados Unidos y China y por la menguante demanda de crudo.</w:t>
            </w:r>
          </w:p>
          <w:p>
            <w:pPr>
              <w:ind w:left="-284" w:right="-427"/>
              <w:jc w:val="both"/>
              <w:rPr>
                <w:rFonts/>
                <w:color w:val="262626" w:themeColor="text1" w:themeTint="D9"/>
              </w:rPr>
            </w:pPr>
            <w:r>
              <w:t>Los futuros de gas TTF en el mercado ICE para el mes de agosto cerraron en 10,81 €/MWh este viernes 19 de julio, 0,72 €/MWh por encima del precio mínimo de las dos últimas semanas de 10,74 €/MWh registrado el jueves 18 de julio, después de haber experimentado una tendencia a la baja durante la semana pasada. Este aumento en los precios de futuros de gas, al igual que en los precios de los futuros del carbón API 2 y de los derechos de emisión de CO2, está condicionado por el incremento de la demanda a consecuencia de la inminente ola de calor prevista para inicios de esta semana en gran parte de Europa.</w:t>
            </w:r>
          </w:p>
          <w:p>
            <w:pPr>
              <w:ind w:left="-284" w:right="-427"/>
              <w:jc w:val="both"/>
              <w:rPr>
                <w:rFonts/>
                <w:color w:val="262626" w:themeColor="text1" w:themeTint="D9"/>
              </w:rPr>
            </w:pPr>
            <w:r>
              <w:t>Los precios de los futuros del carbón API 2 en el mercado ICE para el mes de agosto acabaron el viernes 19 de julio en 62,20 $/t, con un incremento del 5,8% respeto al menor precio registrado durante la semana pasada que fue de 58,80 $/t alcanzado el martes 16 de julio, tras haberse mantenido por debajo de los 60 $/t durante toda la semana.</w:t>
            </w:r>
          </w:p>
          <w:p>
            <w:pPr>
              <w:ind w:left="-284" w:right="-427"/>
              <w:jc w:val="both"/>
              <w:rPr>
                <w:rFonts/>
                <w:color w:val="262626" w:themeColor="text1" w:themeTint="D9"/>
              </w:rPr>
            </w:pPr>
            <w:r>
              <w:t>Los precios de los futuros de derechos de emisión de CO2 en el mercado EEX para el contrato de referencia de diciembre de 2019 se liquidaron en 28,88 €/t este viernes 19 de julio, después de haber cerrado en 29,05 €/t el lunes 15 de julio y presentar una tendencia a la baja durante el resto de la semana pasada. El incremento del viernes del 4,0% respecto al precio mínimo de la semana pasada de 27,78 €/t, registrado el jueves 18 de julio, puede haber estado influenciado por los acontecimientos políticos de Reino Unido respecto al Brexit, que se podría decidir durante esta semana, además de la ola de calor que se espera para los próximos días en Europa.</w:t>
            </w:r>
          </w:p>
          <w:p>
            <w:pPr>
              <w:ind w:left="-284" w:right="-427"/>
              <w:jc w:val="both"/>
              <w:rPr>
                <w:rFonts/>
                <w:color w:val="262626" w:themeColor="text1" w:themeTint="D9"/>
              </w:rPr>
            </w:pPr>
            <w:r>
              <w:t>Mercados eléctricos europeosDurante la semana pasada, entre el 15 y el 21 de julio, los mercados EPEX SPOT de Francia, Alemania, Países Bajos y Bélgica se mantuvieron muy agrupados con un precio promedio alrededor de los 40 €/MWh y un aumento entre el 2,2% y el 4,2%. El mercado Nord Pool de los países nórdicos es el mercado que registró un aumento más importante respecto a la semana anterior, del 9,4%, pero aun así siguió con el precio más bajo entre los mercados eléctricos europeos.</w:t>
            </w:r>
          </w:p>
          <w:p>
            <w:pPr>
              <w:ind w:left="-284" w:right="-427"/>
              <w:jc w:val="both"/>
              <w:rPr>
                <w:rFonts/>
                <w:color w:val="262626" w:themeColor="text1" w:themeTint="D9"/>
              </w:rPr>
            </w:pPr>
            <w:r>
              <w:t>En el resto de mercados, MIBEL de España y Portugal e IPEX de Italia, que tienen precios más altos, experimentaron esta semana pasada una rebaja respecto a la semana anterior del 1,0% y el 4,0%, respectivamente. El mercado N2EX de Gran Bretaña, por su parte, registró un ligero aumento del 0,5%. En este segundo grupo de mercados con precio más altos, los precios promedios semanales se quedaron por encima de los 47 €/MWh.</w:t>
            </w:r>
          </w:p>
          <w:p>
            <w:pPr>
              <w:ind w:left="-284" w:right="-427"/>
              <w:jc w:val="both"/>
              <w:rPr>
                <w:rFonts/>
                <w:color w:val="262626" w:themeColor="text1" w:themeTint="D9"/>
              </w:rPr>
            </w:pPr>
            <w:r>
              <w:t>Esta semana habrá que estar atentos a la producción nuclear francesa. Si la ola de calor prevista produce un incremento de la temperatura del agua en algunos ríos que proporcionan refrigeración a centrales nucleares, éstas pueden ver limitada su producción debido a restricciones para la protección del entorno natural. Una disminución de la potencia nuclear en Francia acostumbra a impactar en los precios de todos los mercados europeos porque cambia el sentido de las interconexiones: donde Francia normalmente exporta electricidad pasa a importarla para cubrir sus indisponibilidades nucleares. Se espera que el incremento de la demanda por la ola de calor, además de la disminución de la producción nuclear, lleve a un incremento de la producción con gas y carbón durante esta semana, que presionará los precios de los mercados eléctricos al alza.</w:t>
            </w:r>
          </w:p>
          <w:p>
            <w:pPr>
              <w:ind w:left="-284" w:right="-427"/>
              <w:jc w:val="both"/>
              <w:rPr>
                <w:rFonts/>
                <w:color w:val="262626" w:themeColor="text1" w:themeTint="D9"/>
              </w:rPr>
            </w:pPr>
            <w:r>
              <w:t>Futuros de electricidadLos precios de los futuros de electricidad europeos para el cuarto trimestre de 2019 finalizaron la semana pasada en general con valores ligeramente inferiores a los de la semana anterior. En la mayoría de mercados se registraron descensos de entre un 0,6% y un 5,6%. Esta tendencia general tuvo dos excepciones: por un lado, los futuros de Italia en el mercado MTE operado por GME, que restaron inmóviles en 63,89 €/MWh, y por otro lado, los futuros para los países nórdicos en el mercado ICE, que se dispararon en la sesión del lunes 15 de julio y se continuaron creciendo ligeramente durante la semana, salvo en la sesión del viernes 19 de julio, donde el precio de cierre fue de 43,65 €/MWh. Este precio, aunque representa una discreta caída respecto al día anterior, es un valor muy superior al precio de liquidación del viernes anterior, concretamente un incremento del 12,1%. Mientras, en el mercado NASDAQ, el producto del último trimestre del año para los países nórdicos también experimentó un incremento de precio, aunque mucho más moderado, del 1,4%.</w:t>
            </w:r>
          </w:p>
          <w:p>
            <w:pPr>
              <w:ind w:left="-284" w:right="-427"/>
              <w:jc w:val="both"/>
              <w:rPr>
                <w:rFonts/>
                <w:color w:val="262626" w:themeColor="text1" w:themeTint="D9"/>
              </w:rPr>
            </w:pPr>
            <w:r>
              <w:t>En cuanto a los futuros de electricidad para el año 2020, el comportamiento de los mercados ha sido más heterogéneo, pero con variaciones menos pronunciadas. El país que más ha variado ha sido UK, tanto en el mercado EEX como en el mercado ICE, con rebajas de un 3,4% y un 3,2% respectivamente. En el resto de países los precios de la semana pasada se han mantenido bastante estables, con variaciones que solamente exceden el 1% en el caso de Países Bajos, con una caída del 1,1%.</w:t>
            </w:r>
          </w:p>
          <w:p>
            <w:pPr>
              <w:ind w:left="-284" w:right="-427"/>
              <w:jc w:val="both"/>
              <w:rPr>
                <w:rFonts/>
                <w:color w:val="262626" w:themeColor="text1" w:themeTint="D9"/>
              </w:rPr>
            </w:pPr>
            <w:r>
              <w:t>Producción eólica y solarEn la semana del 15 de julio respecto a la semana anterior, la producción eólica creció un 75% en Portugal y un 5,0% en España, tuvo un ligero incremento de un 3,3% en Alemania, mientras que cayó en Francia un 20% y en Italia un 44%. Para esta semana, se espera que la generación con esta tecnología registre variaciones similares a las de la semana pasada en cada uno de los países analizados.</w:t>
            </w:r>
          </w:p>
          <w:p>
            <w:pPr>
              <w:ind w:left="-284" w:right="-427"/>
              <w:jc w:val="both"/>
              <w:rPr>
                <w:rFonts/>
                <w:color w:val="262626" w:themeColor="text1" w:themeTint="D9"/>
              </w:rPr>
            </w:pPr>
            <w:r>
              <w:t>La producción solar, la cual incluye la fotovoltaica y la termosolar, aumentó en varios países europeos respecto a la semana del 8 de julio. En Alemania, España e Italia la subida fue de un 18%, 13% y 3,8%, respectivamente. Se espera que, durante esta semana, la producción solar mantenga la tendencia al alza en Alemania e Italia, y que decrezca en cierta medida en España.</w:t>
            </w:r>
          </w:p>
          <w:p>
            <w:pPr>
              <w:ind w:left="-284" w:right="-427"/>
              <w:jc w:val="both"/>
              <w:rPr>
                <w:rFonts/>
                <w:color w:val="262626" w:themeColor="text1" w:themeTint="D9"/>
              </w:rPr>
            </w:pPr>
            <w:r>
              <w:t>Para más información, es posible consultar el siguiente enlace: https://aleasoft.com/es/subida-mercados-electricos-europeos-aumento-fotovoltaica-eolica/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https://www.notasdeprensa.es/aleasoft-subida-en-los-mercados-electricos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