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Repunte en los futuros de carbón, gas, CO2 y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futuros de carbón y gas y de los derechos de emisiones de CO2 han subido durante la última semana, provocando un aumento del precio en los principales mercados de futuros de electricidad, principalmente en la sesión de ayer 7 de noviembre, según ha analizado AleaSoft. En los mercados spot de Europa la tendencia de esta semana ha sido la convergencia de los precios de la mayoría de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futuros de carbón y gas, que desde inicios de octubre seguían una tendencia a la baja, han repuntado en la sesión de ayer 7 de noviembre estimulados por una previsión de temperaturas bajas para finales de noviembre. Según el análisis elaborado por AleaSoft, el precio del carbón API 2 para enero de 2019 en el mercado de futuros ICE subió 2,00 $/t respecto a la sesión del 6 de noviembre. Por su parte, los futuros de gas europeo para diciembre de este año crecieron 0,68 €/MWh respecto al día anterior, el 6 de noviembre</w:t>
            </w:r>
          </w:p>
          <w:p>
            <w:pPr>
              <w:ind w:left="-284" w:right="-427"/>
              <w:jc w:val="both"/>
              <w:rPr>
                <w:rFonts/>
                <w:color w:val="262626" w:themeColor="text1" w:themeTint="D9"/>
              </w:rPr>
            </w:pPr>
            <w:r>
              <w:t>De momento, el precio del petróleo Brent ha continuado la tendencia a la baja y en la sesión de ayer 7 de noviembre los futuros para enero de 2019 se negociaron a 72 $/bbl, un 3% menos que en la sesión del 31 de octubre.</w:t>
            </w:r>
          </w:p>
          <w:p>
            <w:pPr>
              <w:ind w:left="-284" w:right="-427"/>
              <w:jc w:val="both"/>
              <w:rPr>
                <w:rFonts/>
                <w:color w:val="262626" w:themeColor="text1" w:themeTint="D9"/>
              </w:rPr>
            </w:pPr>
            <w:r>
              <w:t>Según AleaSoft, los precios de los derechos de emisiones de CO2, que también mantenían una senda bajista desde comienzos de octubre, debido a una recogida de beneficios de los inversores, han modificado la tendencia y han empezado a subir desde el 2 de noviembre al aproximarse la introducción de la reserva para la estabilidad del mercado. Los futuros para diciembre de 2018 llegaron a marcar el mínimo de los últimos tres meses en la sesión del 1 de noviembre, cuando se negociaron a 15,62 €/t, pero a partir del 2 de noviembre volvieron a subir y en la sesión de ayer 7 de noviembre se negociaron a 18,61 €/MWh.</w:t>
            </w:r>
          </w:p>
          <w:p>
            <w:pPr>
              <w:ind w:left="-284" w:right="-427"/>
              <w:jc w:val="both"/>
              <w:rPr>
                <w:rFonts/>
                <w:color w:val="262626" w:themeColor="text1" w:themeTint="D9"/>
              </w:rPr>
            </w:pPr>
            <w:r>
              <w:t>En este contexto, según el análisis de AleaSoft, los principales mercados de futuros de electricidad europeo han reaccionado con subidas en la sesión de ayer 7 de noviembre. Destacan los futuros de electricidad de Alemania en el mercado EEX que para el producto mensual de diciembre de 2018 subieron 2,43 €/MWh con respecto a la sesión del día anterior, el 6 de noviembre. En el mercado MIBEL, el precio para el año 2019 (YR-19) aumentó 0,95 €/MWh para España y 0,73 €/MWh para Portugal en la sesión del 7 de noviembre respecto a la sesión del día anterior.</w:t>
            </w:r>
          </w:p>
          <w:p>
            <w:pPr>
              <w:ind w:left="-284" w:right="-427"/>
              <w:jc w:val="both"/>
              <w:rPr>
                <w:rFonts/>
                <w:color w:val="262626" w:themeColor="text1" w:themeTint="D9"/>
              </w:rPr>
            </w:pPr>
            <w:r>
              <w:t>En cuanto a los mercados spot de Europa, esta semana del 5 de noviembre han convergido alrededor de los 60 €/MWh, a excepción del mercado NordPool de los países nórdicos, que ha estado por debajo de los 50 €/MWh y el mercado británico N2EX que ha estado alrededor de los 67 €/MWh. Cabe destacar que esta semana el mercado alemán EPEX SPOT, generalmente más bajo, también ha convergido con el resto de los países de Europa continental debido a una producción eólica menor en Alemania.</w:t>
            </w:r>
          </w:p>
          <w:p>
            <w:pPr>
              <w:ind w:left="-284" w:right="-427"/>
              <w:jc w:val="both"/>
              <w:rPr>
                <w:rFonts/>
                <w:color w:val="262626" w:themeColor="text1" w:themeTint="D9"/>
              </w:rPr>
            </w:pPr>
            <w:r>
              <w:t>Según AleaSoft, se espera que la semana próxima del 12 de noviembre la temperatura media en España peninsular sea más alta que la de esta semana. Esto hará que la demanda eléctrica aumente 0,62% respecto a la de esta semana. AleaSoft prevé que el precio para la semana próxima subirá debido a que se espera una menor producción eólica, y se moverá entre los 60 €/MWh y 61 €/MWh.</w:t>
            </w:r>
          </w:p>
          <w:p>
            <w:pPr>
              <w:ind w:left="-284" w:right="-427"/>
              <w:jc w:val="both"/>
              <w:rPr>
                <w:rFonts/>
                <w:color w:val="262626" w:themeColor="text1" w:themeTint="D9"/>
              </w:rPr>
            </w:pPr>
            <w:r>
              <w:t>Para más información, pueden dirigirse al siguiente enlace:</w:t>
            </w:r>
          </w:p>
          <w:p>
            <w:pPr>
              <w:ind w:left="-284" w:right="-427"/>
              <w:jc w:val="both"/>
              <w:rPr>
                <w:rFonts/>
                <w:color w:val="262626" w:themeColor="text1" w:themeTint="D9"/>
              </w:rPr>
            </w:pPr>
            <w:r>
              <w:t>https://aleasoft.com/es/repunte-futuros-gas-carbon-co2-electricidad/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https://www.notasdeprensa.es/aleasoft-repunte-en-los-futuros-de-carbon-gas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