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mercados español y portugués de electricidad con los precios más altos de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de España y Portugal se han posicionado como los más caros de Europa junto con el británico. La conexión a la red de la central nuclear de Trillo esta semana junto con la estabilización de la demanda eléctrica debería presionar los precios ligeramente a la baja, según AleaSoft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diario de los mercados OMIE de España y Portugal ha estado por encima de los 61 €/MWh desde que comenzó esta semana del 25 de junio. Con estos precios, ambos mercados se han posicionado como los más caros junto con el tradicionalmente más caro N2EX británico, al compararse con el resto de principales mercados europeos, tales como EPEX SPOT (Alemania, Bélgica, Francia, Países Bajos y Suiza) e IPEX (PUN y NORD).</w:t>
            </w:r>
          </w:p>
          <w:p>
            <w:pPr>
              <w:ind w:left="-284" w:right="-427"/>
              <w:jc w:val="both"/>
              <w:rPr>
                <w:rFonts/>
                <w:color w:val="262626" w:themeColor="text1" w:themeTint="D9"/>
              </w:rPr>
            </w:pPr>
            <w:r>
              <w:t>La central nuclear de Trillo se ha conectado de nuevo a la red eléctrica este miércoles 27 de junio después de 39 días parada, y una vez finalizadas la recarga de combustible y las tareas de revisión. Según AleaSoft, este hecho va a presionar el precio del mercado eléctrico ligeramente a la baja. Ahora mismo solamente queda indisponible la central de Vandellós II, que no está previsto que vuelva a conectarse a la red al menos hasta mediados de julio.</w:t>
            </w:r>
          </w:p>
          <w:p>
            <w:pPr>
              <w:ind w:left="-284" w:right="-427"/>
              <w:jc w:val="both"/>
              <w:rPr>
                <w:rFonts/>
                <w:color w:val="262626" w:themeColor="text1" w:themeTint="D9"/>
              </w:rPr>
            </w:pPr>
            <w:r>
              <w:t>En cuanto a la demanda de electricidad en España peninsular, la semana pasada, la del 18 de junio, se registró un importante aumento, 6,5% más respecto a la semana anterior, debido al aumento de la temperatura, que se situó de promedio 1,4°C por encima de la temperatura típica en esta época del año. Las previsiones son que la temperatura continúe siendo alta pero que no aumente más en lo que queda de esta semana del 25 de junio y la siguiente. AleaSoft estima que el aumento de la demanda de esta semana respecto a la semana anterior será del 0,6%.</w:t>
            </w:r>
          </w:p>
          <w:p>
            <w:pPr>
              <w:ind w:left="-284" w:right="-427"/>
              <w:jc w:val="both"/>
              <w:rPr>
                <w:rFonts/>
                <w:color w:val="262626" w:themeColor="text1" w:themeTint="D9"/>
              </w:rPr>
            </w:pPr>
            <w:r>
              <w:t>Las reservas de energía disponible en las presas hidroeléctricas han aumentado muy ligeramente (0,1%) según los registros del martes 26 de junio con respecto a siete días antes, y continúan creciendo de manera ininterrumpida durante las últimas 19 semanas, desde el 19 de febrero.</w:t>
            </w:r>
          </w:p>
          <w:p>
            <w:pPr>
              <w:ind w:left="-284" w:right="-427"/>
              <w:jc w:val="both"/>
              <w:rPr>
                <w:rFonts/>
                <w:color w:val="262626" w:themeColor="text1" w:themeTint="D9"/>
              </w:rPr>
            </w:pPr>
            <w:r>
              <w:t>Durante toda esta semana del 25 de junio la producción eólica peninsular se ha mantenido por debajo de los niveles históricos para esta época del año. De cara al final de la semana, AleaSoft considera que hay expectativas de que se pueda recuperar.</w:t>
            </w:r>
          </w:p>
          <w:p>
            <w:pPr>
              <w:ind w:left="-284" w:right="-427"/>
              <w:jc w:val="both"/>
              <w:rPr>
                <w:rFonts/>
                <w:color w:val="262626" w:themeColor="text1" w:themeTint="D9"/>
              </w:rPr>
            </w:pPr>
            <w:r>
              <w:t>El precio de los derechos de emisiones de CO2 EUA se confirma que se ha estabilizado después de la carrera alcista desde principios de año. El máximo alcanzado por el futuro de referencia para diciembre 2018 fue de 16,31 €/t el pasado 28 de mayo, la semana pasada cayó hasta los 14,24 €/t el martes 19 de junio, y ayer miércoles 27 de junio cerró en 15,26 €/t. Los precios del petróleo Brent, de gas y de carbón también se han estabilizado desde principios de este mes de junio, y se mantienen desde entonces con muy ligeras oscilaciones.</w:t>
            </w:r>
          </w:p>
          <w:p>
            <w:pPr>
              <w:ind w:left="-284" w:right="-427"/>
              <w:jc w:val="both"/>
              <w:rPr>
                <w:rFonts/>
                <w:color w:val="262626" w:themeColor="text1" w:themeTint="D9"/>
              </w:rPr>
            </w:pPr>
            <w:r>
              <w:t>Para más información, se puede consultar el siguiente enlace:https://aleasoft.com/es/mercados-espanol-portugues-electricidad-precios-mas-altos-europa/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628278623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https://www.notasdeprensa.es/aleasoft-los-mercados-espanol-y-portugues-de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Consumo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