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precio de las emisiones de CO2 bate nuevos récords mientras el Brent retrocede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últimos días, el precio de las emisiones de CO2 ha vuelto a batir récords históricos. Mientras, el Brent experimenta nuevas caídas, pero el precio del gas vuelve a subir después de meses estancado. AleaSoft ha analizado el comportamiento del precio en los mercados europeos y la demanda en España peninsular durante la ola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precios de los futuros de emisiones de CO2 EUA continúan su carrera alcista imparable y superan ya los 18 € por tonelada, un nuevo récord absoluto para el producto de referencia de diciembre 2018.</w:t>
            </w:r>
          </w:p>
          <w:p>
            <w:pPr>
              <w:ind w:left="-284" w:right="-427"/>
              <w:jc w:val="both"/>
              <w:rPr>
                <w:rFonts/>
                <w:color w:val="262626" w:themeColor="text1" w:themeTint="D9"/>
              </w:rPr>
            </w:pPr>
            <w:r>
              <w:t>El precio de los futuros del barril de petróleo Brent continúa alejándose de la barrera de los $80 que a punto de alcanzar en julio. Después de la caída en la sesión de ayer 15 de agosto del 2,3%, el futuro para el mes de octubre 2018 se sitúa ya cerca de los $70, un precio tan bajo no se cotizaba desde abril.</w:t>
            </w:r>
          </w:p>
          <w:p>
            <w:pPr>
              <w:ind w:left="-284" w:right="-427"/>
              <w:jc w:val="both"/>
              <w:rPr>
                <w:rFonts/>
                <w:color w:val="262626" w:themeColor="text1" w:themeTint="D9"/>
              </w:rPr>
            </w:pPr>
            <w:r>
              <w:t>Por su lado, los futuros de gas europeo han vuelto a registrar una subida significativa después de prácticamente tres meses de precios muy estables. Desde principios de agosto, el precio del gas se ha revalorizado un 7,2%, alcanzando los 23,52 €/MWh en la sesión de ayer 15 de agosto.</w:t>
            </w:r>
          </w:p>
          <w:p>
            <w:pPr>
              <w:ind w:left="-284" w:right="-427"/>
              <w:jc w:val="both"/>
              <w:rPr>
                <w:rFonts/>
                <w:color w:val="262626" w:themeColor="text1" w:themeTint="D9"/>
              </w:rPr>
            </w:pPr>
            <w:r>
              <w:t>Por lo que respecta al precio de los futuros de carbón europeo, desde el 2 agosto la tendencia ha sido ligeramente al alza, aumentando un 0,7% hasta los $97,41 la tonelada, y aun relativamente lejos de la barrera de los $100 superada durante la primera mitad de julio.</w:t>
            </w:r>
          </w:p>
          <w:p>
            <w:pPr>
              <w:ind w:left="-284" w:right="-427"/>
              <w:jc w:val="both"/>
              <w:rPr>
                <w:rFonts/>
                <w:color w:val="262626" w:themeColor="text1" w:themeTint="D9"/>
              </w:rPr>
            </w:pPr>
            <w:r>
              <w:t>La ola de calor de los primeros días de agosto ha tenido un efecto claramente alcista en los principales mercados de electricidad de Europa, según los datos analizados por AleaSoft. Los más afectados han sido, por un lado, los mercados EPEX SPOT de Francia y de Alemania, donde el precio promedio entre el 2 y el 8 de agosto fue 7,94 €/MWh y 7,31 €/MWh más alto, respectivamente, que en los siete días siguientes, del 9 al 15 de agosto. Y, por otro lado, en el mercado italiano IPEX, donde esa diferencia de precio fue de 5,62 €/MWh. En el resto de mercados, esa diferencia fue menor, alrededor de 3,50 €/MWh en el mercado MIBEL español y portugués y de 2,77 €/MWh en el Nord Pool, e incluso en el mercado británico N2EX, los precios durante la ola de calor europea fueron ligeramente más bajos que en los días posteriores.</w:t>
            </w:r>
          </w:p>
          <w:p>
            <w:pPr>
              <w:ind w:left="-284" w:right="-427"/>
              <w:jc w:val="both"/>
              <w:rPr>
                <w:rFonts/>
                <w:color w:val="262626" w:themeColor="text1" w:themeTint="D9"/>
              </w:rPr>
            </w:pPr>
            <w:r>
              <w:t>Los futuros de electricidad en el mercado ibérico OMIP para el último trimestre del año, Q4-18, se han recuperado hasta los 67,10 €/MWh, después de haber caído momentáneamente hasta los 65,50 €/MWh el pasado 9 de agosto. Los futuros para el año 2019 siguen claramente al alza y se situaron ayer en 57,80 €/MWh.</w:t>
            </w:r>
          </w:p>
          <w:p>
            <w:pPr>
              <w:ind w:left="-284" w:right="-427"/>
              <w:jc w:val="both"/>
              <w:rPr>
                <w:rFonts/>
                <w:color w:val="262626" w:themeColor="text1" w:themeTint="D9"/>
              </w:rPr>
            </w:pPr>
            <w:r>
              <w:t>Una vez finalizada la ola de calor, los análisis de AleaSoft, establecen un aumento de la demanda en España peninsular del 11,9% entre los días 2 y 8 de agosto con respecto a los siete días siguientes, una vez corregido el efecto de la festividad del 15 de agosto.</w:t>
            </w:r>
          </w:p>
          <w:p>
            <w:pPr>
              <w:ind w:left="-284" w:right="-427"/>
              <w:jc w:val="both"/>
              <w:rPr>
                <w:rFonts/>
                <w:color w:val="262626" w:themeColor="text1" w:themeTint="D9"/>
              </w:rPr>
            </w:pPr>
            <w:r>
              <w:t>Las reservas de agua en las presas hidroeléctricas continúan disminuyendo debido a la reducción estacional del aporte de agua a los pantanos. Según datos del lunes 13 de agosto, la energía hidroeléctrica disponible disminuyó un 3,1% respecto a la semana anterior.</w:t>
            </w:r>
          </w:p>
          <w:p>
            <w:pPr>
              <w:ind w:left="-284" w:right="-427"/>
              <w:jc w:val="both"/>
              <w:rPr>
                <w:rFonts/>
                <w:color w:val="262626" w:themeColor="text1" w:themeTint="D9"/>
              </w:rPr>
            </w:pPr>
            <w:r>
              <w:t>Según las estimaciones de AleaSoft, la producción eólica de este mes de agosto estaría alrededor de un 12% por debajo de los valores típicos para esta época del año.</w:t>
            </w:r>
          </w:p>
          <w:p>
            <w:pPr>
              <w:ind w:left="-284" w:right="-427"/>
              <w:jc w:val="both"/>
              <w:rPr>
                <w:rFonts/>
                <w:color w:val="262626" w:themeColor="text1" w:themeTint="D9"/>
              </w:rPr>
            </w:pPr>
            <w:r>
              <w:t>Para más información, es posible dirigirse al siguiente enlace: https://aleasoft.com/es/precio-emisiones-co2-bate-nuevos-records-mientras-brent-retrocede/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https://www.notasdeprensa.es/aleasoft-el-precio-de-las-emisiones-de-co2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