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24/04/2019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AleaSoft: Bajada de precios en los mercados eléctricos por Semana Santa y por la producción eólica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AleaSoft analiza los precios en los mercados de combustibles, derechos de emisiones de CO2 y electricidad europeos que en la última semana han retrocedido en Europa. Aumentos de temperaturas y menos laboralidad por Semana Santa han hecho que disminuya la demanda como cada año en estas fechas. Se une a esta situación una producción eólica alta durante la semana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Brent, combustibles y CO2Los precios de los futuros del petróleo Brent para junio de 2019 en el mercado ICE han continuado su subida de manera ininterrumpida y han registrado un incremento importante del viernes 19 de abril con 71,97 $/bbl al lunes 22 con 74,04 $/bbl, superando la cota de los 74 $/bbl. Siguiendo esta tendencia, parece cerca superar los 75 $/bbl que adelantaba AleaSoft la semana pasada. En menos de cuatro meses el aumento ha sido de más de 20 $/bbl, lo que representa más de un 40% de incremento. Las recientes noticias sobre el posible fin de las exenciones a las importaciones de petróleo de Irán a principios de mayo están provocando subidas en el precio de los futuros de alrededor del 0,5%.</w:t>
            </w:r>
          </w:p>
          <w:p>
            <w:pPr>
              <w:ind w:left="-284" w:right="-427"/>
              <w:jc w:val="both"/>
              <w:rPr>
                <w:rFonts/>
                <w:color w:val="262626" w:themeColor="text1" w:themeTint="D9"/>
              </w:rPr>
            </w:pPr>
            <w:r>
              <w:t>En la tercera semana de este mes los futuros de gas TTF en el mercado ICE para mayo acabaron el viernes 19 a 14,46 €/MWh, siguiendo con la ligera bajada que se alarga ya dos semanas. A principios de mes, el 2 de abril, llegaron a 13,46 €/MWh, precio mínimo inédito en dos años y a partir de este valor tuvieron un aumento llegando el viernes 5 de abril a los 16,63 €/MWh, uno de los valores más altos del mes. Como se ha planteado en AleaSoft en otras ocasiones, la situación en Argelia y Libia puede hacer que el flujo de gas hacia Europa pueda presentar problemas, trayendo incrementos de precios.</w:t>
            </w:r>
          </w:p>
          <w:p>
            <w:pPr>
              <w:ind w:left="-284" w:right="-427"/>
              <w:jc w:val="both"/>
              <w:rPr>
                <w:rFonts/>
                <w:color w:val="262626" w:themeColor="text1" w:themeTint="D9"/>
              </w:rPr>
            </w:pPr>
            <w:r>
              <w:t>Los precios de los futuros del carbón API 2 para el mes de mayo en el mercado ICE han seguido con un ligero descenso bajando de los 63 $/t el viernes 19 cuando se cerró a 62,90 $/t. El valor más alto del mes hasta la fecha de hoy es de 65,70 $/t y ocurrió el viernes 12 de abril.</w:t>
            </w:r>
          </w:p>
          <w:p>
            <w:pPr>
              <w:ind w:left="-284" w:right="-427"/>
              <w:jc w:val="both"/>
              <w:rPr>
                <w:rFonts/>
                <w:color w:val="262626" w:themeColor="text1" w:themeTint="D9"/>
              </w:rPr>
            </w:pPr>
            <w:r>
              <w:t>Los precios del gas y el carbón en Europa han seguido caminos muy similares desde hace unos dos años. Las caídas de precios de los últimos meses se deben a las temperaturas relativamente altas del invierno, que han llevado a un menor consumo eléctrico.</w:t>
            </w:r>
          </w:p>
          <w:p>
            <w:pPr>
              <w:ind w:left="-284" w:right="-427"/>
              <w:jc w:val="both"/>
              <w:rPr>
                <w:rFonts/>
                <w:color w:val="262626" w:themeColor="text1" w:themeTint="D9"/>
              </w:rPr>
            </w:pPr>
            <w:r>
              <w:t>Lo más relevante en Europa sigue siendo el aumento del precio de los futuros de derechos de emisiones de CO2. Para el contrato de referencia de diciembre de 2019 en el mercado EEX, el precio alcanzó el miércoles 17 de abril los 27,45 €/t, que es el precio más alto registrado en la serie histórica de este mercado. Al cierre del jueves el precio había retrocedido, bajando hasta los 26,88 €/t. Una vez pasado el efecto del aplazamiento del Brexit para octubre, que trajo consigo un incremento del 25% en abril, es posible que los precios de las emisiones de CO2 puedan seguir cayendo hasta llegar a los 25 €/t.</w:t>
            </w:r>
          </w:p>
          <w:p>
            <w:pPr>
              <w:ind w:left="-284" w:right="-427"/>
              <w:jc w:val="both"/>
              <w:rPr>
                <w:rFonts/>
                <w:color w:val="262626" w:themeColor="text1" w:themeTint="D9"/>
              </w:rPr>
            </w:pPr>
            <w:r>
              <w:t>Mercados eléctricos europeosEn la tercera semana de abril, coincidiendo con la Semana Santa, los precios han registrado un retroceso significativo y generalizado en los principales mercados europeos en torno al 9%. Las causas han sido un aumento de las temperaturas de 4 °C en promedio y la bajada de la laboralidad en Semana Santa, que han traído la correspondiente caída del consumo eléctrico entre un 6% y 7% de promedio en los principales mercados. También ha influido una producción eólica más alta en Europa y la disminución del precio del gas y el carbón.</w:t>
            </w:r>
          </w:p>
          <w:p>
            <w:pPr>
              <w:ind w:left="-284" w:right="-427"/>
              <w:jc w:val="both"/>
              <w:rPr>
                <w:rFonts/>
                <w:color w:val="262626" w:themeColor="text1" w:themeTint="D9"/>
              </w:rPr>
            </w:pPr>
            <w:r>
              <w:t>Desde que empezó el mes de abril se observaban dos grupos de precios, unos más altos y otros más bajos. En esta última semana los precios más altos solamente se han mantenido en el mercado N2EX de Gran Bretaña, que se han situado sobre los 49 €/MWh. El mercado italiano IPEX y el mercado MIBEL de España y Portugal han relajado sus precios hasta alcanzar al grupo más bajo; el lunes 22 sus precios estaban cerca de los 40 €/MWh al igual que el mercado Nord Pool de los países nórdicos.</w:t>
            </w:r>
          </w:p>
          <w:p>
            <w:pPr>
              <w:ind w:left="-284" w:right="-427"/>
              <w:jc w:val="both"/>
              <w:rPr>
                <w:rFonts/>
                <w:color w:val="262626" w:themeColor="text1" w:themeTint="D9"/>
              </w:rPr>
            </w:pPr>
            <w:r>
              <w:t>El resto de los mercados EPEX SPOT de Bélgica, Países Bajos, Francia y Alemania registraron la semana pasada precios medios de 39 €/MWh y se situaron en todo momento por encima de los 30 €/MWh. Ayer, lunes 22, los precios horarios bajaron hasta valores negativos en los mercados de Alemania, Francia y Bélgica. La baja demanda por las festividades de Semana Santa y la alta producción eólica empujaron los precios por debajo de los cero €/MWh durante varias horas. En el mercado alemán se registraron precios negativos durante diez horas del lunes, llegando a los -83,01 €/MWh en la hora 15 y situando también el precio promedio de las 24 horas del día por debajo de cero, concretamente hasta los ‑14,01 €/MWh. En Alemania, también se han registrado precios negativos para el martes 23, aunque en este caso solo han alcanzado los -11,03 €/MWh.</w:t>
            </w:r>
          </w:p>
          <w:p>
            <w:pPr>
              <w:ind w:left="-284" w:right="-427"/>
              <w:jc w:val="both"/>
              <w:rPr>
                <w:rFonts/>
                <w:color w:val="262626" w:themeColor="text1" w:themeTint="D9"/>
              </w:rPr>
            </w:pPr>
            <w:r>
              <w:t>En el mercado francés, se registraron para el lunes dos horas con precios negativos, con un valor mínimo de -4,10 €/MWh. En Bélgica, los valores fueron algo más severos con seis horas consecutivas con precios negativos alcanzando los -31,62 €/MWh. Tanto en el caso francés como en el mercado belga, los precios promedios diarios para el lunes se situaron en valores positivos.</w:t>
            </w:r>
          </w:p>
          <w:p>
            <w:pPr>
              <w:ind w:left="-284" w:right="-427"/>
              <w:jc w:val="both"/>
              <w:rPr>
                <w:rFonts/>
                <w:color w:val="262626" w:themeColor="text1" w:themeTint="D9"/>
              </w:rPr>
            </w:pPr>
            <w:r>
              <w:t>Futuros de electricidadLos futuros de electricidad europeos para mayo de 2019 cerraron la semana pasada, el jueves 18 de abril, con un ligero descenso en la mayoría de los mercados de forma paralela a la caída del precio del gas y el carbón. En general, entre el viernes 12 de abril y el jueves 18 la caída estuvo entre un 0,3% y un 3,2%. La excepción fueron el mercado ICE de UK que bajó un 5,9%, el mercado EEX alemán que cerró el jueves 18 al mismo precio que lo hizo el viernes 12 de la semana anterior, y el mercado MTE operado por GME que aumentó un 1,1%.</w:t>
            </w:r>
          </w:p>
          <w:p>
            <w:pPr>
              <w:ind w:left="-284" w:right="-427"/>
              <w:jc w:val="both"/>
              <w:rPr>
                <w:rFonts/>
                <w:color w:val="262626" w:themeColor="text1" w:themeTint="D9"/>
              </w:rPr>
            </w:pPr>
            <w:r>
              <w:t>Producción eólica y solarEn la tercera semana de abril la producción eólica ha sido alta en los mercados europeos. En Alemania la producción eólica aumentó un 19%, en Francia, 9,2%, en Italia, 3,3%, en Portugal, 11% y en España, 6%, comparando con la semana anterior.</w:t>
            </w:r>
          </w:p>
          <w:p>
            <w:pPr>
              <w:ind w:left="-284" w:right="-427"/>
              <w:jc w:val="both"/>
              <w:rPr>
                <w:rFonts/>
                <w:color w:val="262626" w:themeColor="text1" w:themeTint="D9"/>
              </w:rPr>
            </w:pPr>
            <w:r>
              <w:t>Para la semana actual se prevén subidas significativas de la producción eólica en Alemania, Francia e Italia, y más moderados en la Península Ibérica.</w:t>
            </w:r>
          </w:p>
          <w:p>
            <w:pPr>
              <w:ind w:left="-284" w:right="-427"/>
              <w:jc w:val="both"/>
              <w:rPr>
                <w:rFonts/>
                <w:color w:val="262626" w:themeColor="text1" w:themeTint="D9"/>
              </w:rPr>
            </w:pPr>
            <w:r>
              <w:t>La producción solar, que incluye tanto la tecnología fotovoltaica como la termosolar, ha registrado un aumento significativo durante la semana pasada en Alemania de cerca de un 70% mientras que en Italia el incremento ha sido del 55%. En España, la producción solar cayó un 39% durante la semana.</w:t>
            </w:r>
          </w:p>
          <w:p>
            <w:pPr>
              <w:ind w:left="-284" w:right="-427"/>
              <w:jc w:val="both"/>
              <w:rPr>
                <w:rFonts/>
                <w:color w:val="262626" w:themeColor="text1" w:themeTint="D9"/>
              </w:rPr>
            </w:pPr>
            <w:r>
              <w:t>Para la semana actual las previsiones cambian la tendencia e indican un incremento en España y un descenso en Alemania e Italia.</w:t>
            </w:r>
          </w:p>
          <w:p>
            <w:pPr>
              <w:ind w:left="-284" w:right="-427"/>
              <w:jc w:val="both"/>
              <w:rPr>
                <w:rFonts/>
                <w:color w:val="262626" w:themeColor="text1" w:themeTint="D9"/>
              </w:rPr>
            </w:pPr>
            <w:r>
              <w:t>Para más información, dirigirse al siguiente enlace:</w:t>
            </w:r>
          </w:p>
          <w:p>
            <w:pPr>
              <w:ind w:left="-284" w:right="-427"/>
              <w:jc w:val="both"/>
              <w:rPr>
                <w:rFonts/>
                <w:color w:val="262626" w:themeColor="text1" w:themeTint="D9"/>
              </w:rPr>
            </w:pPr>
            <w:r>
              <w:t>https://aleasoft.com/es/bajada-precios-mercados-electricos-semana-santa-produccion-eolica/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Alejandro Delgado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https://www.notasdeprensa.es/aleasoft-bajada-de-precios-en-los-mercados_2</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Finanzas Industria Téxtil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